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021B74" w14:textId="77777777" w:rsidR="008C1065" w:rsidRDefault="008C1065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529" w:type="dxa"/>
        <w:tblInd w:w="250" w:type="dxa"/>
        <w:tblLook w:val="04A0" w:firstRow="1" w:lastRow="0" w:firstColumn="1" w:lastColumn="0" w:noHBand="0" w:noVBand="1"/>
      </w:tblPr>
      <w:tblGrid>
        <w:gridCol w:w="3592"/>
        <w:gridCol w:w="6937"/>
      </w:tblGrid>
      <w:tr w:rsidR="002C04F5" w14:paraId="22BB0DEF" w14:textId="77777777" w:rsidTr="003C1056">
        <w:trPr>
          <w:trHeight w:val="4108"/>
        </w:trPr>
        <w:tc>
          <w:tcPr>
            <w:tcW w:w="3592" w:type="dxa"/>
            <w:tcBorders>
              <w:top w:val="nil"/>
              <w:left w:val="nil"/>
            </w:tcBorders>
          </w:tcPr>
          <w:p w14:paraId="5FBE45A8" w14:textId="38E5F2DA" w:rsidR="002C04F5" w:rsidRPr="00FD395B" w:rsidRDefault="002C04F5" w:rsidP="002C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5FB20BA" wp14:editId="4E235477">
                      <wp:extent cx="304800" cy="304800"/>
                      <wp:effectExtent l="0" t="0" r="0" b="0"/>
                      <wp:docPr id="3" name="AutoShape 3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4052C3" id="AutoShape 3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r+M3kDQIAAP0DAAAO&#10;AAAAAAAAAAAAAAAAAC4CAABkcnMvZTJvRG9jLnhtbFBLAQItABQABgAIAAAAIQBMoOks2AAAAAMB&#10;AAAPAAAAAAAAAAAAAAAAAGcEAABkcnMvZG93bnJldi54bWxQSwUGAAAAAAQABADzAAAAb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04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8520612" wp14:editId="087BD217">
                  <wp:extent cx="1005111" cy="1127125"/>
                  <wp:effectExtent l="0" t="0" r="5080" b="0"/>
                  <wp:docPr id="4" name="Рисунок 4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ECEDF2F" wp14:editId="68A26C7C">
                      <wp:extent cx="304800" cy="304800"/>
                      <wp:effectExtent l="0" t="0" r="0" b="0"/>
                      <wp:docPr id="1" name="Прямоугольник 1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CF3B96" id="Прямоугольник 1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Pso0GzICAAAOBAAADgAAAAAAAAAAAAAAAAAuAgAAZHJz&#10;L2Uyb0RvYy54bWxQSwECLQAUAAYACAAAACEATKDpLNgAAAADAQAADwAAAAAAAAAAAAAAAACMBAAA&#10;ZHJzL2Rvd25yZXYueG1sUEsFBgAAAAAEAAQA8wAAAJ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Уманський національний університет садівництва</w:t>
            </w:r>
          </w:p>
          <w:p w14:paraId="00258763" w14:textId="3A7CC5D5" w:rsidR="002C04F5" w:rsidRPr="00FD395B" w:rsidRDefault="002C04F5" w:rsidP="002C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Факультет економіки і підприємництва</w:t>
            </w:r>
          </w:p>
          <w:p w14:paraId="34812C27" w14:textId="50FB0BEB" w:rsidR="002C04F5" w:rsidRDefault="002C04F5" w:rsidP="003C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Кафедра 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підприємництва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, торгівл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і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та біржов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ої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діяльн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ості</w:t>
            </w:r>
          </w:p>
        </w:tc>
        <w:tc>
          <w:tcPr>
            <w:tcW w:w="6937" w:type="dxa"/>
            <w:tcBorders>
              <w:top w:val="nil"/>
              <w:right w:val="nil"/>
            </w:tcBorders>
          </w:tcPr>
          <w:p w14:paraId="05D12759" w14:textId="4318B20A" w:rsidR="002C04F5" w:rsidRPr="00E1225F" w:rsidRDefault="002C04F5" w:rsidP="009351B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>СИЛАБУС НАВЧАЛЬНОЇ ДИСЦИПЛІНИ</w:t>
            </w:r>
          </w:p>
          <w:p w14:paraId="57164F7E" w14:textId="4E93201C" w:rsidR="002C04F5" w:rsidRPr="00E1225F" w:rsidRDefault="002C04F5" w:rsidP="008C106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275164" w:rsidRPr="00275164">
              <w:rPr>
                <w:rFonts w:ascii="Times New Roman" w:eastAsia="Times New Roman" w:hAnsi="Times New Roman" w:cs="Times New Roman"/>
                <w:b/>
                <w:bCs/>
                <w:sz w:val="36"/>
                <w:szCs w:val="32"/>
                <w:lang w:eastAsia="ru-RU"/>
              </w:rPr>
              <w:t>Кон’юнктура ринку</w:t>
            </w: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14:paraId="230F1D64" w14:textId="15E74432" w:rsidR="00747EFB" w:rsidRDefault="00747EFB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4"/>
              <w:tblW w:w="6256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3244"/>
            </w:tblGrid>
            <w:tr w:rsidR="00747EFB" w:rsidRPr="00E1225F" w14:paraId="793BEC47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0AD18B91" w14:textId="47EB8A3B" w:rsidR="00747EFB" w:rsidRPr="00E1225F" w:rsidRDefault="00304A01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Рівень</w:t>
                  </w:r>
                  <w:r w:rsidR="00747EFB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вищої освіти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23E3E7AF" w14:textId="2981B4AA" w:rsidR="00747EFB" w:rsidRPr="00100DDD" w:rsidRDefault="00CA26FC" w:rsidP="003C1056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highlight w:val="yellow"/>
                      <w:u w:val="single"/>
                    </w:rPr>
                  </w:pPr>
                  <w:r w:rsidRPr="00CA26F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перший (бакалаврський)</w:t>
                  </w:r>
                </w:p>
              </w:tc>
            </w:tr>
            <w:tr w:rsidR="00747EFB" w:rsidRPr="00E1225F" w14:paraId="1E56329A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0AE4597B" w14:textId="4282B265"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Спеціальність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7549768F" w14:textId="1C935B6E" w:rsidR="00747EFB" w:rsidRPr="00E1225F" w:rsidRDefault="00CA26FC" w:rsidP="00CA26FC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CA26F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076  Підприємництво, торгівля та біржова діяльність </w:t>
                  </w:r>
                </w:p>
              </w:tc>
            </w:tr>
            <w:tr w:rsidR="00747EFB" w:rsidRPr="00E1225F" w14:paraId="69662F26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6BE01216" w14:textId="2B029AB2"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Освітня програма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0E22D586" w14:textId="1238CAEB" w:rsidR="00747EFB" w:rsidRPr="00E1225F" w:rsidRDefault="00EB1EF5" w:rsidP="00427F3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CA26FC" w:rsidRPr="00CA26F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Підприємництво, торгівля та біржова діяльність</w:t>
                  </w:r>
                </w:p>
              </w:tc>
            </w:tr>
            <w:tr w:rsidR="00747EFB" w:rsidRPr="00E1225F" w14:paraId="0924599B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102BAADC" w14:textId="64F5B52E" w:rsidR="00747EFB" w:rsidRPr="00E1225F" w:rsidRDefault="00EB1EF5" w:rsidP="00D25441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</w:t>
                  </w:r>
                  <w:r w:rsidR="00747EFB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еместр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44" w:type="dxa"/>
                </w:tcPr>
                <w:p w14:paraId="76467C88" w14:textId="1AB74D6A" w:rsidR="00747EFB" w:rsidRPr="00E1225F" w:rsidRDefault="00275164" w:rsidP="00275164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3</w:t>
                  </w:r>
                </w:p>
              </w:tc>
            </w:tr>
            <w:tr w:rsidR="00D91A36" w:rsidRPr="00E1225F" w14:paraId="2A99EE49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1DC19233" w14:textId="26CBDDED" w:rsidR="00D91A36" w:rsidRPr="00E1225F" w:rsidRDefault="00D91A36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Курс (рік навчання)</w:t>
                  </w:r>
                </w:p>
              </w:tc>
              <w:tc>
                <w:tcPr>
                  <w:tcW w:w="3244" w:type="dxa"/>
                </w:tcPr>
                <w:p w14:paraId="2612642E" w14:textId="12CC57E2" w:rsidR="00D91A36" w:rsidRPr="00E1225F" w:rsidRDefault="00275164" w:rsidP="00275164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2</w:t>
                  </w:r>
                  <w:r w:rsidR="00D91A36"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2</w:t>
                  </w:r>
                  <w:r w:rsidR="00D91A36"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</w:tc>
            </w:tr>
            <w:tr w:rsidR="00747EFB" w:rsidRPr="00E1225F" w14:paraId="30819982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528E4DDF" w14:textId="67DE5AEE"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Форма навчання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384E578D" w14:textId="2C32F9C1"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денна</w:t>
                  </w:r>
                </w:p>
              </w:tc>
            </w:tr>
            <w:tr w:rsidR="00747EFB" w:rsidRPr="00E1225F" w14:paraId="749081C8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3B1C1872" w14:textId="58533C38" w:rsidR="00747EFB" w:rsidRPr="00E1225F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Кількість кредитів ЄКТС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3FE2A2E8" w14:textId="0CC46177" w:rsidR="00747EFB" w:rsidRPr="00E1225F" w:rsidRDefault="00275164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4</w:t>
                  </w:r>
                </w:p>
              </w:tc>
            </w:tr>
            <w:tr w:rsidR="00747EFB" w:rsidRPr="00E1225F" w14:paraId="228EBC25" w14:textId="77777777" w:rsidTr="00E1225F">
              <w:trPr>
                <w:trHeight w:val="314"/>
              </w:trPr>
              <w:tc>
                <w:tcPr>
                  <w:tcW w:w="3012" w:type="dxa"/>
                </w:tcPr>
                <w:p w14:paraId="67EC03FE" w14:textId="0C3A0F6E" w:rsidR="00747EFB" w:rsidRPr="00E1225F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Мова викладання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64621A10" w14:textId="08F20746" w:rsidR="00315D20" w:rsidRPr="00E1225F" w:rsidRDefault="00315D20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українська</w:t>
                  </w:r>
                </w:p>
              </w:tc>
            </w:tr>
            <w:tr w:rsidR="00315D20" w:rsidRPr="00E1225F" w14:paraId="014FFEE8" w14:textId="77777777" w:rsidTr="00E1225F">
              <w:trPr>
                <w:trHeight w:val="314"/>
              </w:trPr>
              <w:tc>
                <w:tcPr>
                  <w:tcW w:w="3012" w:type="dxa"/>
                </w:tcPr>
                <w:p w14:paraId="6002BE9B" w14:textId="0E294A08" w:rsidR="00315D20" w:rsidRPr="00E1225F" w:rsidRDefault="002E6251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Обовʼязкова</w:t>
                  </w:r>
                  <w:proofErr w:type="spellEnd"/>
                  <w:r w:rsidR="00315D20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/вибіркова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645739C4" w14:textId="1987D671" w:rsidR="00315D20" w:rsidRPr="00E1225F" w:rsidRDefault="008814E4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о</w:t>
                  </w:r>
                  <w:r w:rsidR="002E6251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бовʼязкова</w:t>
                  </w:r>
                  <w:proofErr w:type="spellEnd"/>
                </w:p>
              </w:tc>
            </w:tr>
          </w:tbl>
          <w:p w14:paraId="5A87B1C1" w14:textId="7DC4367D" w:rsidR="00747EFB" w:rsidRPr="00747EFB" w:rsidRDefault="00747EFB" w:rsidP="00747E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056" w14:paraId="3BCB9796" w14:textId="77777777" w:rsidTr="003C1056">
        <w:trPr>
          <w:trHeight w:val="257"/>
        </w:trPr>
        <w:tc>
          <w:tcPr>
            <w:tcW w:w="3592" w:type="dxa"/>
            <w:vAlign w:val="bottom"/>
          </w:tcPr>
          <w:p w14:paraId="0DE65C66" w14:textId="30C09C3B" w:rsidR="003C1056" w:rsidRDefault="003C1056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37" w:type="dxa"/>
            <w:vAlign w:val="center"/>
          </w:tcPr>
          <w:p w14:paraId="59736A8D" w14:textId="4EAD5AA3" w:rsidR="003C1056" w:rsidRPr="009351B9" w:rsidRDefault="00CA26FC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 Бленда</w:t>
            </w:r>
          </w:p>
        </w:tc>
      </w:tr>
      <w:tr w:rsidR="003C1056" w14:paraId="6EC1E071" w14:textId="77777777" w:rsidTr="003C1056">
        <w:trPr>
          <w:trHeight w:val="257"/>
        </w:trPr>
        <w:tc>
          <w:tcPr>
            <w:tcW w:w="3592" w:type="dxa"/>
            <w:vAlign w:val="bottom"/>
          </w:tcPr>
          <w:p w14:paraId="4DA81369" w14:textId="112227F6" w:rsidR="003C1056" w:rsidRDefault="003C1056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лектора</w:t>
            </w:r>
          </w:p>
        </w:tc>
        <w:tc>
          <w:tcPr>
            <w:tcW w:w="6937" w:type="dxa"/>
            <w:vAlign w:val="center"/>
          </w:tcPr>
          <w:p w14:paraId="43FD7D6F" w14:textId="2F4661C9" w:rsidR="003C1056" w:rsidRPr="009351B9" w:rsidRDefault="00100DDD" w:rsidP="0010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https://economics.udau.edu.ua/ua/pro-kafedru/vikladachi-ta-spivrobitniki/blenda-nataliya-oleksandrivna.html</w:t>
            </w:r>
          </w:p>
        </w:tc>
      </w:tr>
      <w:tr w:rsidR="003C1056" w14:paraId="589D3854" w14:textId="77777777" w:rsidTr="003C1056">
        <w:trPr>
          <w:trHeight w:val="257"/>
        </w:trPr>
        <w:tc>
          <w:tcPr>
            <w:tcW w:w="3592" w:type="dxa"/>
            <w:vAlign w:val="bottom"/>
          </w:tcPr>
          <w:p w14:paraId="7E8AA882" w14:textId="77777777" w:rsidR="003C1056" w:rsidRDefault="003C1056" w:rsidP="0093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14:paraId="3D2096E1" w14:textId="3BA0BAE0" w:rsidR="003C1056" w:rsidRDefault="003C1056" w:rsidP="009A4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лектора  (е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37" w:type="dxa"/>
            <w:vAlign w:val="center"/>
          </w:tcPr>
          <w:p w14:paraId="2648F9A0" w14:textId="77202D81" w:rsidR="003C1056" w:rsidRPr="009351B9" w:rsidRDefault="00CA26FC" w:rsidP="00CA2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nble</w:t>
            </w:r>
            <w:proofErr w:type="spellEnd"/>
            <w:r w:rsidR="00100DDD" w:rsidRPr="00100DDD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00DDD" w:rsidRPr="00100DDD">
              <w:rPr>
                <w:rFonts w:ascii="Times New Roman" w:eastAsia="Times New Roman" w:hAnsi="Times New Roman" w:cs="Times New Roman"/>
                <w:sz w:val="24"/>
                <w:szCs w:val="24"/>
              </w:rPr>
              <w:t>6@gmail.com</w:t>
            </w:r>
          </w:p>
        </w:tc>
      </w:tr>
      <w:tr w:rsidR="003C1056" w14:paraId="6E6687AA" w14:textId="77777777" w:rsidTr="003C1056">
        <w:trPr>
          <w:trHeight w:val="257"/>
        </w:trPr>
        <w:tc>
          <w:tcPr>
            <w:tcW w:w="3592" w:type="dxa"/>
            <w:vAlign w:val="bottom"/>
          </w:tcPr>
          <w:p w14:paraId="6909C9C5" w14:textId="6B6E4BC4" w:rsidR="003C1056" w:rsidRDefault="003C1056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Сторінка курсу в 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/>
              </w:rPr>
              <w:t>MOODLE</w:t>
            </w:r>
          </w:p>
        </w:tc>
        <w:tc>
          <w:tcPr>
            <w:tcW w:w="6937" w:type="dxa"/>
            <w:vAlign w:val="center"/>
          </w:tcPr>
          <w:p w14:paraId="378E6FDF" w14:textId="0C8E1311" w:rsidR="004904AF" w:rsidRPr="004904AF" w:rsidRDefault="004904AF" w:rsidP="00490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4AF">
              <w:rPr>
                <w:rFonts w:ascii="Times New Roman" w:hAnsi="Times New Roman" w:cs="Times New Roman"/>
                <w:sz w:val="24"/>
                <w:szCs w:val="28"/>
              </w:rPr>
              <w:t>https://moodle.udau.edu.ua/course/view.php?id=508</w:t>
            </w:r>
          </w:p>
        </w:tc>
      </w:tr>
    </w:tbl>
    <w:p w14:paraId="71BB21A1" w14:textId="33061FEE" w:rsidR="002C04F5" w:rsidRDefault="002C04F5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C7362D" w14:textId="77777777" w:rsidR="00CA26FC" w:rsidRDefault="00CA26FC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48E3CFF0" w14:textId="3FE34346" w:rsidR="008C1065" w:rsidRPr="00111996" w:rsidRDefault="00555A96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1199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ОПИС ДИСЦИПЛІНИ</w:t>
      </w:r>
    </w:p>
    <w:p w14:paraId="0C989878" w14:textId="77777777" w:rsidR="00C53672" w:rsidRPr="00FF77CE" w:rsidRDefault="00C53672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4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C53672" w14:paraId="4A559783" w14:textId="77777777" w:rsidTr="00C5182D">
        <w:tc>
          <w:tcPr>
            <w:tcW w:w="1668" w:type="dxa"/>
          </w:tcPr>
          <w:p w14:paraId="25A16CD0" w14:textId="14E8A354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Мета курсу</w:t>
            </w:r>
          </w:p>
        </w:tc>
        <w:tc>
          <w:tcPr>
            <w:tcW w:w="9072" w:type="dxa"/>
          </w:tcPr>
          <w:p w14:paraId="3CD82022" w14:textId="2F5602BD" w:rsidR="00C53672" w:rsidRPr="0078158F" w:rsidRDefault="00275164" w:rsidP="00275164">
            <w:pPr>
              <w:pStyle w:val="BodyText21"/>
              <w:numPr>
                <w:ilvl w:val="0"/>
                <w:numId w:val="45"/>
              </w:numPr>
              <w:tabs>
                <w:tab w:val="left" w:pos="317"/>
              </w:tabs>
              <w:ind w:left="33" w:firstLine="0"/>
              <w:rPr>
                <w:sz w:val="20"/>
              </w:rPr>
            </w:pPr>
            <w:r w:rsidRPr="00275164">
              <w:rPr>
                <w:sz w:val="20"/>
              </w:rPr>
              <w:t xml:space="preserve">надати інформацію про комплексний характер кон’юнктури ринків, особливості та закономірності функціонування сучасного ринку, виявлення і оцінку </w:t>
            </w:r>
            <w:proofErr w:type="spellStart"/>
            <w:r w:rsidRPr="00275164">
              <w:rPr>
                <w:sz w:val="20"/>
              </w:rPr>
              <w:t>кон’юнктуроутворюючих</w:t>
            </w:r>
            <w:proofErr w:type="spellEnd"/>
            <w:r w:rsidRPr="00275164">
              <w:rPr>
                <w:sz w:val="20"/>
              </w:rPr>
              <w:t xml:space="preserve"> факторів, забезпечити оволодіння студентами методикою дослідження кон’юнктури ринків, навичками з оцінки стану ринку, виявлення комплексу показників та ступеня збалансованості основних його елементів, визначення перспектив подальшого розвитку</w:t>
            </w:r>
          </w:p>
        </w:tc>
      </w:tr>
      <w:tr w:rsidR="00C53672" w14:paraId="589C9CF4" w14:textId="77777777" w:rsidTr="00C5182D">
        <w:tc>
          <w:tcPr>
            <w:tcW w:w="1668" w:type="dxa"/>
          </w:tcPr>
          <w:p w14:paraId="50A24A4A" w14:textId="0DBEAEA1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Завдання курсу</w:t>
            </w:r>
          </w:p>
        </w:tc>
        <w:tc>
          <w:tcPr>
            <w:tcW w:w="9072" w:type="dxa"/>
          </w:tcPr>
          <w:p w14:paraId="53299228" w14:textId="77777777" w:rsidR="00275164" w:rsidRPr="00275164" w:rsidRDefault="00275164" w:rsidP="00275164">
            <w:pPr>
              <w:pStyle w:val="af5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>засвоєння сутності поняття „кон’юнктура”, вивчення видів економічної кон’юнктури;</w:t>
            </w:r>
          </w:p>
          <w:p w14:paraId="7CD8DB06" w14:textId="77777777" w:rsidR="00275164" w:rsidRPr="00275164" w:rsidRDefault="00275164" w:rsidP="00275164">
            <w:pPr>
              <w:pStyle w:val="af5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 xml:space="preserve">вивчення основних закономірностей функціонування різних ринків; </w:t>
            </w:r>
          </w:p>
          <w:p w14:paraId="265774DC" w14:textId="77777777" w:rsidR="00275164" w:rsidRPr="00275164" w:rsidRDefault="00275164" w:rsidP="00275164">
            <w:pPr>
              <w:pStyle w:val="af5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>надання уявлення про ринковий механізм та ринкову кон’юнктуру;</w:t>
            </w:r>
          </w:p>
          <w:p w14:paraId="042AE32F" w14:textId="77777777" w:rsidR="00275164" w:rsidRPr="00275164" w:rsidRDefault="00275164" w:rsidP="00275164">
            <w:pPr>
              <w:pStyle w:val="af5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>дослідження взаємозв’язку процесів і явищ в економіці та їх вплив на кон’юнктуру конкретних ринків товарів і послуг,</w:t>
            </w:r>
          </w:p>
          <w:p w14:paraId="7C5A2B95" w14:textId="77777777" w:rsidR="00275164" w:rsidRPr="00275164" w:rsidRDefault="00275164" w:rsidP="00275164">
            <w:pPr>
              <w:pStyle w:val="af5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 xml:space="preserve"> інтерпретувати зміни кон’юнктури на різних ринках з урахуванням принципів системності, виявляти причинно-наслідкові зв’язки у розвитку кон’юнктури ринків;</w:t>
            </w:r>
          </w:p>
          <w:p w14:paraId="7D08E095" w14:textId="3A745C3B" w:rsidR="00C53672" w:rsidRPr="00275164" w:rsidRDefault="00275164" w:rsidP="00275164">
            <w:pPr>
              <w:pStyle w:val="af5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 xml:space="preserve"> використовувати кон’юнктурні показники та індикатори для аналізу та оцінки стану ринкової ситуації.</w:t>
            </w:r>
          </w:p>
        </w:tc>
      </w:tr>
      <w:tr w:rsidR="00C53672" w14:paraId="0572D3E4" w14:textId="77777777" w:rsidTr="00C5182D">
        <w:tc>
          <w:tcPr>
            <w:tcW w:w="1668" w:type="dxa"/>
          </w:tcPr>
          <w:p w14:paraId="0B3E1AFB" w14:textId="335E7A78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Компетентності</w:t>
            </w:r>
          </w:p>
        </w:tc>
        <w:tc>
          <w:tcPr>
            <w:tcW w:w="9072" w:type="dxa"/>
          </w:tcPr>
          <w:p w14:paraId="0042C811" w14:textId="77777777" w:rsidR="002712B7" w:rsidRPr="002712B7" w:rsidRDefault="002712B7" w:rsidP="00275164">
            <w:pPr>
              <w:pStyle w:val="af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2712B7">
              <w:rPr>
                <w:rFonts w:ascii="Times New Roman" w:hAnsi="Times New Roman" w:cs="Times New Roman"/>
              </w:rPr>
              <w:t>Загальні:</w:t>
            </w:r>
          </w:p>
          <w:p w14:paraId="21C567F3" w14:textId="33A87031" w:rsidR="00275164" w:rsidRPr="00275164" w:rsidRDefault="00275164" w:rsidP="00275164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>Здатність застосовувати отримані знання в практичних ситуаціях;</w:t>
            </w:r>
          </w:p>
          <w:p w14:paraId="2D3187DB" w14:textId="3EB2765E" w:rsidR="00275164" w:rsidRPr="00275164" w:rsidRDefault="00275164" w:rsidP="00275164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>Здатність до пошуку, оброблення та аналізу інформації з різних джерел;</w:t>
            </w:r>
          </w:p>
          <w:p w14:paraId="6035A756" w14:textId="62273EEC" w:rsidR="00275164" w:rsidRPr="00275164" w:rsidRDefault="00275164" w:rsidP="00275164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>Здатність виявляти ініціативу та підприємливість.</w:t>
            </w:r>
          </w:p>
          <w:p w14:paraId="056172BA" w14:textId="77777777" w:rsidR="00275164" w:rsidRPr="00275164" w:rsidRDefault="00275164" w:rsidP="00275164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>Фахові:</w:t>
            </w:r>
          </w:p>
          <w:p w14:paraId="067AECF1" w14:textId="23759446" w:rsidR="00275164" w:rsidRPr="00275164" w:rsidRDefault="00275164" w:rsidP="00275164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>Критичне осмислення теоретичних засад підприємницької, торговельної та біржової діяльності;</w:t>
            </w:r>
          </w:p>
          <w:p w14:paraId="34E082D6" w14:textId="123443E7" w:rsidR="00275164" w:rsidRPr="00275164" w:rsidRDefault="00275164" w:rsidP="00275164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>Здатність здійснювати діяльність у взаємодії суб’єктів ринкових відносин;</w:t>
            </w:r>
          </w:p>
          <w:p w14:paraId="240828CE" w14:textId="6D6EF937" w:rsidR="00275164" w:rsidRPr="00275164" w:rsidRDefault="00275164" w:rsidP="00275164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>Здатність визначати і виконувати професійні завдання з організації діяльності підприємницьких, торговельних та біржових структур;</w:t>
            </w:r>
          </w:p>
          <w:p w14:paraId="6812313D" w14:textId="49067ECB" w:rsidR="00275164" w:rsidRPr="00275164" w:rsidRDefault="00275164" w:rsidP="00275164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>Здатність до бізнес-планування, оцінювання кон'юнктури ринків і результатів діяльності у сфері підприємництва, торгівлі та біржової практики з урахуванням ризиків;</w:t>
            </w:r>
          </w:p>
          <w:p w14:paraId="689DB698" w14:textId="6FE39FA1" w:rsidR="00C53672" w:rsidRPr="00275164" w:rsidRDefault="00275164" w:rsidP="00275164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275164">
              <w:rPr>
                <w:rFonts w:ascii="Times New Roman" w:hAnsi="Times New Roman" w:cs="Times New Roman"/>
              </w:rPr>
              <w:t>Здатність усвідомлювати умови ефективності міжнародної сегментації, застосовувати методику аналізу зовнішніх ринків, розробляти стратегії виходу підприємства на іноземні ринки.</w:t>
            </w:r>
          </w:p>
        </w:tc>
      </w:tr>
      <w:tr w:rsidR="00C53672" w14:paraId="765E9DBD" w14:textId="77777777" w:rsidTr="00C5182D">
        <w:tc>
          <w:tcPr>
            <w:tcW w:w="1668" w:type="dxa"/>
          </w:tcPr>
          <w:p w14:paraId="3C04B99B" w14:textId="01F57056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Програмні результати </w:t>
            </w: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навчання</w:t>
            </w:r>
          </w:p>
        </w:tc>
        <w:tc>
          <w:tcPr>
            <w:tcW w:w="9072" w:type="dxa"/>
          </w:tcPr>
          <w:p w14:paraId="0AA5CF34" w14:textId="4AFE3EC7" w:rsidR="00275164" w:rsidRPr="00275164" w:rsidRDefault="00275164" w:rsidP="00275164">
            <w:pPr>
              <w:pStyle w:val="af5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275164">
              <w:rPr>
                <w:rFonts w:ascii="Times New Roman" w:hAnsi="Times New Roman" w:cs="Times New Roman"/>
                <w:szCs w:val="28"/>
                <w:lang w:eastAsia="uk-UA"/>
              </w:rPr>
              <w:lastRenderedPageBreak/>
              <w:t xml:space="preserve">Використовувати базові знання з підприємництва, торгівлі і біржової діяльності й уміння критичного мислення, аналізу та синтезу в професійних цілях. </w:t>
            </w:r>
          </w:p>
          <w:p w14:paraId="160AC4C7" w14:textId="249F6E72" w:rsidR="00275164" w:rsidRPr="00275164" w:rsidRDefault="00275164" w:rsidP="00275164">
            <w:pPr>
              <w:pStyle w:val="af5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275164">
              <w:rPr>
                <w:rFonts w:ascii="Times New Roman" w:hAnsi="Times New Roman" w:cs="Times New Roman"/>
                <w:szCs w:val="28"/>
                <w:lang w:eastAsia="uk-UA"/>
              </w:rPr>
              <w:lastRenderedPageBreak/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  <w:p w14:paraId="362BB353" w14:textId="6B4F2C90" w:rsidR="00275164" w:rsidRPr="00275164" w:rsidRDefault="00275164" w:rsidP="00275164">
            <w:pPr>
              <w:pStyle w:val="af5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275164">
              <w:rPr>
                <w:rFonts w:ascii="Times New Roman" w:hAnsi="Times New Roman" w:cs="Times New Roman"/>
                <w:szCs w:val="28"/>
                <w:lang w:eastAsia="uk-UA"/>
              </w:rPr>
              <w:t>Демонструвати базові й структуровані знання у сфері підприємництва, торгівлі та біржової діяльності для подальшого використання на практиці.</w:t>
            </w:r>
          </w:p>
          <w:p w14:paraId="458B575C" w14:textId="663F9B4A" w:rsidR="00275164" w:rsidRPr="00275164" w:rsidRDefault="00275164" w:rsidP="00275164">
            <w:pPr>
              <w:pStyle w:val="af5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275164">
              <w:rPr>
                <w:rFonts w:ascii="Times New Roman" w:hAnsi="Times New Roman" w:cs="Times New Roman"/>
                <w:szCs w:val="28"/>
                <w:lang w:eastAsia="uk-UA"/>
              </w:rPr>
              <w:t>Використовувати знання форм взаємодії суб’єктів ринкових відносин для забезпечення діяльності підприємницьких, торговельних та біржових структур;</w:t>
            </w:r>
          </w:p>
          <w:p w14:paraId="0DA346F5" w14:textId="0982B34A" w:rsidR="00275164" w:rsidRPr="00275164" w:rsidRDefault="00275164" w:rsidP="00275164">
            <w:pPr>
              <w:pStyle w:val="af5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275164">
              <w:rPr>
                <w:rFonts w:ascii="Times New Roman" w:hAnsi="Times New Roman" w:cs="Times New Roman"/>
                <w:szCs w:val="28"/>
                <w:lang w:eastAsia="uk-UA"/>
              </w:rPr>
              <w:t>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впливів;</w:t>
            </w:r>
          </w:p>
          <w:p w14:paraId="1C514F5F" w14:textId="3F03EBEA" w:rsidR="00C53672" w:rsidRPr="00275164" w:rsidRDefault="00275164" w:rsidP="00275164">
            <w:pPr>
              <w:pStyle w:val="af5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bookmarkStart w:id="0" w:name="_GoBack"/>
            <w:bookmarkEnd w:id="0"/>
            <w:r w:rsidRPr="00275164">
              <w:rPr>
                <w:rFonts w:ascii="Times New Roman" w:hAnsi="Times New Roman" w:cs="Times New Roman"/>
                <w:szCs w:val="28"/>
                <w:lang w:eastAsia="uk-UA"/>
              </w:rPr>
              <w:t>Застосовувати одержані знання й уміння для контролю за виконанням дотримання правил торгівлі, зберігання товарів.</w:t>
            </w:r>
          </w:p>
        </w:tc>
      </w:tr>
    </w:tbl>
    <w:p w14:paraId="051C26F0" w14:textId="77777777" w:rsidR="008C284B" w:rsidRDefault="008C284B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63763D27" w14:textId="77777777" w:rsidR="00CA26FC" w:rsidRDefault="00CA26FC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58D71F98" w14:textId="77777777" w:rsidR="00C53672" w:rsidRPr="00131CF3" w:rsidRDefault="00C53672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1CF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СТРУКТУРА КУРСУ</w:t>
      </w:r>
    </w:p>
    <w:p w14:paraId="3E2779BF" w14:textId="616FB7CE" w:rsidR="00C53672" w:rsidRPr="00FF77CE" w:rsidRDefault="00C53672" w:rsidP="00B273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f4"/>
        <w:tblW w:w="10799" w:type="dxa"/>
        <w:tblLook w:val="04A0" w:firstRow="1" w:lastRow="0" w:firstColumn="1" w:lastColumn="0" w:noHBand="0" w:noVBand="1"/>
      </w:tblPr>
      <w:tblGrid>
        <w:gridCol w:w="2615"/>
        <w:gridCol w:w="1453"/>
        <w:gridCol w:w="2944"/>
        <w:gridCol w:w="2909"/>
        <w:gridCol w:w="878"/>
      </w:tblGrid>
      <w:tr w:rsidR="008A509F" w:rsidRPr="00C53672" w14:paraId="65D0B7C9" w14:textId="77777777" w:rsidTr="006D5A7D">
        <w:tc>
          <w:tcPr>
            <w:tcW w:w="2615" w:type="dxa"/>
            <w:vAlign w:val="center"/>
          </w:tcPr>
          <w:p w14:paraId="22B36957" w14:textId="04C57AFE" w:rsidR="00555A96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453" w:type="dxa"/>
            <w:vAlign w:val="center"/>
          </w:tcPr>
          <w:p w14:paraId="65A31BB7" w14:textId="62241B43" w:rsidR="00D42FE0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Години  (лекції</w:t>
            </w:r>
            <w:r w:rsidR="00893B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53672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57DCFD47" w14:textId="6AC6A7E6" w:rsidR="00555A96" w:rsidRPr="00C53672" w:rsidRDefault="00893BF0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555A96" w:rsidRPr="00C53672">
              <w:rPr>
                <w:rFonts w:ascii="Times New Roman" w:eastAsia="Times New Roman" w:hAnsi="Times New Roman" w:cs="Times New Roman"/>
                <w:b/>
              </w:rPr>
              <w:t>рактичні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(семінарські, лабораторні</w:t>
            </w:r>
            <w:r w:rsidR="00555A96" w:rsidRPr="00C53672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944" w:type="dxa"/>
            <w:vAlign w:val="center"/>
          </w:tcPr>
          <w:p w14:paraId="53ED825B" w14:textId="0EA3F053" w:rsidR="00555A96" w:rsidRPr="00C53672" w:rsidRDefault="00E078AC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 тем курсу</w:t>
            </w:r>
          </w:p>
        </w:tc>
        <w:tc>
          <w:tcPr>
            <w:tcW w:w="2909" w:type="dxa"/>
            <w:vAlign w:val="center"/>
          </w:tcPr>
          <w:p w14:paraId="59AEB6AC" w14:textId="5A932252" w:rsidR="00555A96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878" w:type="dxa"/>
            <w:vAlign w:val="center"/>
          </w:tcPr>
          <w:p w14:paraId="6A8A16D1" w14:textId="77777777" w:rsidR="00555A96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53672">
              <w:rPr>
                <w:rFonts w:ascii="Times New Roman" w:eastAsia="Times New Roman" w:hAnsi="Times New Roman" w:cs="Times New Roman"/>
                <w:b/>
              </w:rPr>
              <w:t>Оціню</w:t>
            </w:r>
            <w:r w:rsidR="00C5182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53672">
              <w:rPr>
                <w:rFonts w:ascii="Times New Roman" w:eastAsia="Times New Roman" w:hAnsi="Times New Roman" w:cs="Times New Roman"/>
                <w:b/>
              </w:rPr>
              <w:t>вання</w:t>
            </w:r>
            <w:proofErr w:type="spellEnd"/>
          </w:p>
          <w:p w14:paraId="1EA2C79E" w14:textId="4857F50E" w:rsidR="00F727C5" w:rsidRPr="00C53672" w:rsidRDefault="00F727C5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(балів)</w:t>
            </w:r>
          </w:p>
        </w:tc>
      </w:tr>
      <w:tr w:rsidR="00742CF2" w:rsidRPr="00C53672" w14:paraId="0E81BA43" w14:textId="77777777" w:rsidTr="00AC746D">
        <w:tc>
          <w:tcPr>
            <w:tcW w:w="10799" w:type="dxa"/>
            <w:gridSpan w:val="5"/>
          </w:tcPr>
          <w:p w14:paraId="24CE0425" w14:textId="0DCEC11E" w:rsidR="00742CF2" w:rsidRPr="00C53672" w:rsidRDefault="00742CF2" w:rsidP="00131C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Змістовий модуль 1</w:t>
            </w:r>
          </w:p>
        </w:tc>
      </w:tr>
      <w:tr w:rsidR="006D5A7D" w:rsidRPr="00C53672" w14:paraId="54639392" w14:textId="77777777" w:rsidTr="006D5A7D">
        <w:tc>
          <w:tcPr>
            <w:tcW w:w="2615" w:type="dxa"/>
          </w:tcPr>
          <w:p w14:paraId="13278D7D" w14:textId="1DE935D2" w:rsidR="006D5A7D" w:rsidRPr="006D5A7D" w:rsidRDefault="006D5A7D" w:rsidP="00B87D2D">
            <w:pPr>
              <w:rPr>
                <w:rFonts w:ascii="Times New Roman" w:hAnsi="Times New Roman" w:cs="Times New Roman"/>
                <w:b/>
              </w:rPr>
            </w:pPr>
            <w:r w:rsidRPr="006D5A7D">
              <w:rPr>
                <w:rFonts w:ascii="Times New Roman" w:hAnsi="Times New Roman" w:cs="Times New Roman"/>
                <w:b/>
                <w:bCs/>
              </w:rPr>
              <w:t>Тема 1</w:t>
            </w:r>
            <w:r w:rsidRPr="006D5A7D">
              <w:rPr>
                <w:rFonts w:ascii="Times New Roman" w:hAnsi="Times New Roman" w:cs="Times New Roman"/>
                <w:b/>
              </w:rPr>
              <w:t xml:space="preserve">. Зміст та види економічної кон’юнктури. </w:t>
            </w:r>
          </w:p>
        </w:tc>
        <w:tc>
          <w:tcPr>
            <w:tcW w:w="1453" w:type="dxa"/>
          </w:tcPr>
          <w:p w14:paraId="6F6BA45D" w14:textId="5F7D10B5" w:rsidR="006D5A7D" w:rsidRPr="00C53672" w:rsidRDefault="00BE2654" w:rsidP="00A10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D5A7D">
              <w:rPr>
                <w:rFonts w:ascii="Times New Roman" w:eastAsia="Times New Roman" w:hAnsi="Times New Roman" w:cs="Times New Roman"/>
                <w:b/>
              </w:rPr>
              <w:t>/2</w:t>
            </w:r>
          </w:p>
        </w:tc>
        <w:tc>
          <w:tcPr>
            <w:tcW w:w="2944" w:type="dxa"/>
          </w:tcPr>
          <w:p w14:paraId="0F8D6738" w14:textId="40C0D6B0" w:rsidR="006D5A7D" w:rsidRPr="009A391F" w:rsidRDefault="006D5A7D" w:rsidP="00CA26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D5A7D">
              <w:rPr>
                <w:rFonts w:ascii="Times New Roman" w:hAnsi="Times New Roman" w:cs="Times New Roman"/>
                <w:szCs w:val="28"/>
              </w:rPr>
              <w:t>Визначення сутності поняття „кон’юнктура”, вивчення видів економічної кон’юнктури, їх х</w:t>
            </w:r>
            <w:r>
              <w:rPr>
                <w:rFonts w:ascii="Times New Roman" w:hAnsi="Times New Roman" w:cs="Times New Roman"/>
                <w:szCs w:val="28"/>
              </w:rPr>
              <w:t xml:space="preserve">арактерних рис та особливостей. </w:t>
            </w:r>
            <w:r w:rsidRPr="006D5A7D">
              <w:rPr>
                <w:rFonts w:ascii="Times New Roman" w:hAnsi="Times New Roman" w:cs="Times New Roman"/>
                <w:szCs w:val="28"/>
              </w:rPr>
              <w:t>Загально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6D5A7D">
              <w:rPr>
                <w:rFonts w:ascii="Times New Roman" w:hAnsi="Times New Roman" w:cs="Times New Roman"/>
                <w:szCs w:val="28"/>
              </w:rPr>
              <w:t>господарська економічна кон’юнктура та  кон’юнктура товарних ринків.</w:t>
            </w:r>
          </w:p>
        </w:tc>
        <w:tc>
          <w:tcPr>
            <w:tcW w:w="2909" w:type="dxa"/>
            <w:vAlign w:val="center"/>
          </w:tcPr>
          <w:p w14:paraId="4150B4B2" w14:textId="5B48AB71" w:rsidR="006D5A7D" w:rsidRPr="00097A42" w:rsidRDefault="006D5A7D" w:rsidP="00B87D2D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097A42">
              <w:rPr>
                <w:rFonts w:ascii="Times New Roman" w:hAnsi="Times New Roman" w:cs="Times New Roman"/>
              </w:rPr>
              <w:t>матеріалу</w:t>
            </w:r>
            <w:r w:rsidRPr="00AE7C06">
              <w:rPr>
                <w:rFonts w:ascii="Times New Roman" w:hAnsi="Times New Roman" w:cs="Times New Roman"/>
              </w:rPr>
              <w:t xml:space="preserve">, ознайомлення з </w:t>
            </w:r>
            <w:r w:rsidR="00A60A0B">
              <w:rPr>
                <w:rFonts w:ascii="Times New Roman" w:hAnsi="Times New Roman" w:cs="Times New Roman"/>
              </w:rPr>
              <w:t>з</w:t>
            </w:r>
            <w:r w:rsidR="00BE2654" w:rsidRPr="00BE2654">
              <w:rPr>
                <w:rFonts w:ascii="Times New Roman" w:hAnsi="Times New Roman" w:cs="Times New Roman"/>
              </w:rPr>
              <w:t>міст</w:t>
            </w:r>
            <w:r w:rsidR="00A60A0B">
              <w:rPr>
                <w:rFonts w:ascii="Times New Roman" w:hAnsi="Times New Roman" w:cs="Times New Roman"/>
              </w:rPr>
              <w:t>ом</w:t>
            </w:r>
            <w:r w:rsidR="00BE2654" w:rsidRPr="00BE2654">
              <w:rPr>
                <w:rFonts w:ascii="Times New Roman" w:hAnsi="Times New Roman" w:cs="Times New Roman"/>
              </w:rPr>
              <w:t xml:space="preserve"> та вид</w:t>
            </w:r>
            <w:r w:rsidR="00A60A0B">
              <w:rPr>
                <w:rFonts w:ascii="Times New Roman" w:hAnsi="Times New Roman" w:cs="Times New Roman"/>
              </w:rPr>
              <w:t>ам</w:t>
            </w:r>
            <w:r w:rsidR="00BE2654" w:rsidRPr="00BE2654">
              <w:rPr>
                <w:rFonts w:ascii="Times New Roman" w:hAnsi="Times New Roman" w:cs="Times New Roman"/>
              </w:rPr>
              <w:t>и економічної кон’юнктури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EBD8452" w14:textId="5D33FEED" w:rsidR="006D5A7D" w:rsidRPr="00C53672" w:rsidRDefault="006D5A7D" w:rsidP="00400FBF">
            <w:pPr>
              <w:rPr>
                <w:rFonts w:ascii="Times New Roman" w:hAnsi="Times New Roman" w:cs="Times New Roman"/>
              </w:rPr>
            </w:pPr>
            <w:r w:rsidRPr="00097A42">
              <w:rPr>
                <w:rFonts w:ascii="Times New Roman" w:hAnsi="Times New Roman" w:cs="Times New Roman"/>
              </w:rPr>
              <w:t>Виконання 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078A0161" w14:textId="18DF903B" w:rsidR="006D5A7D" w:rsidRPr="00C53672" w:rsidRDefault="006D5A7D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6D5A7D" w:rsidRPr="00C53672" w14:paraId="19DF2E74" w14:textId="77777777" w:rsidTr="006D5A7D">
        <w:tc>
          <w:tcPr>
            <w:tcW w:w="2615" w:type="dxa"/>
          </w:tcPr>
          <w:p w14:paraId="3EB62BA3" w14:textId="2ABCEB5E" w:rsidR="006D5A7D" w:rsidRPr="006D5A7D" w:rsidRDefault="006D5A7D" w:rsidP="00542F45">
            <w:pPr>
              <w:tabs>
                <w:tab w:val="num" w:pos="176"/>
              </w:tabs>
              <w:ind w:right="73" w:firstLine="34"/>
              <w:rPr>
                <w:rFonts w:ascii="Times New Roman" w:hAnsi="Times New Roman" w:cs="Times New Roman"/>
                <w:b/>
              </w:rPr>
            </w:pPr>
            <w:r w:rsidRPr="006D5A7D">
              <w:rPr>
                <w:rFonts w:ascii="Times New Roman" w:hAnsi="Times New Roman" w:cs="Times New Roman"/>
                <w:b/>
                <w:bCs/>
              </w:rPr>
              <w:t>Тема 2</w:t>
            </w:r>
            <w:r w:rsidRPr="006D5A7D">
              <w:rPr>
                <w:rFonts w:ascii="Times New Roman" w:hAnsi="Times New Roman" w:cs="Times New Roman"/>
                <w:b/>
              </w:rPr>
              <w:t xml:space="preserve">. Фактори формування та умови розвитку загальногосподарської </w:t>
            </w:r>
          </w:p>
          <w:p w14:paraId="4D9FD03B" w14:textId="77777777" w:rsidR="006D5A7D" w:rsidRPr="006D5A7D" w:rsidRDefault="006D5A7D" w:rsidP="006D5A7D">
            <w:pPr>
              <w:rPr>
                <w:rFonts w:ascii="Times New Roman" w:hAnsi="Times New Roman" w:cs="Times New Roman"/>
                <w:b/>
                <w:color w:val="000000"/>
                <w:spacing w:val="-5"/>
                <w:lang w:val="ru-RU" w:eastAsia="uk-UA"/>
              </w:rPr>
            </w:pPr>
            <w:r w:rsidRPr="006D5A7D">
              <w:rPr>
                <w:rFonts w:ascii="Times New Roman" w:hAnsi="Times New Roman" w:cs="Times New Roman"/>
                <w:b/>
              </w:rPr>
              <w:t>кон’юнктури та кон’юнктури товарних ринків</w:t>
            </w:r>
            <w:r w:rsidRPr="006D5A7D">
              <w:rPr>
                <w:rFonts w:ascii="Times New Roman" w:hAnsi="Times New Roman" w:cs="Times New Roman"/>
                <w:b/>
                <w:color w:val="000000"/>
                <w:spacing w:val="-5"/>
                <w:lang w:val="ru-RU" w:eastAsia="uk-UA"/>
              </w:rPr>
              <w:t xml:space="preserve"> </w:t>
            </w:r>
          </w:p>
          <w:p w14:paraId="3E942120" w14:textId="77777777" w:rsidR="006D5A7D" w:rsidRDefault="006D5A7D" w:rsidP="006D5A7D">
            <w:pPr>
              <w:rPr>
                <w:rFonts w:ascii="Times New Roman" w:hAnsi="Times New Roman" w:cs="Times New Roman"/>
                <w:color w:val="000000"/>
                <w:spacing w:val="-5"/>
                <w:lang w:val="ru-RU" w:eastAsia="uk-UA"/>
              </w:rPr>
            </w:pPr>
            <w:proofErr w:type="spellStart"/>
            <w:r w:rsidRPr="006D5A7D">
              <w:rPr>
                <w:rFonts w:ascii="Times New Roman" w:hAnsi="Times New Roman" w:cs="Times New Roman"/>
                <w:color w:val="000000"/>
                <w:spacing w:val="-5"/>
                <w:lang w:val="ru-RU" w:eastAsia="uk-UA"/>
              </w:rPr>
              <w:t>Гостьовий</w:t>
            </w:r>
            <w:proofErr w:type="spellEnd"/>
            <w:r w:rsidRPr="006D5A7D">
              <w:rPr>
                <w:rFonts w:ascii="Times New Roman" w:hAnsi="Times New Roman" w:cs="Times New Roman"/>
                <w:color w:val="000000"/>
                <w:spacing w:val="-5"/>
                <w:lang w:val="ru-RU" w:eastAsia="uk-UA"/>
              </w:rPr>
              <w:t xml:space="preserve"> лектор: </w:t>
            </w:r>
          </w:p>
          <w:p w14:paraId="0B211DC3" w14:textId="53C7A918" w:rsidR="006D5A7D" w:rsidRPr="006D5A7D" w:rsidRDefault="006D5A7D" w:rsidP="006D5A7D">
            <w:pPr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</w:pPr>
            <w:r w:rsidRPr="006D5A7D">
              <w:rPr>
                <w:rFonts w:ascii="Times New Roman" w:hAnsi="Times New Roman" w:cs="Times New Roman"/>
                <w:color w:val="000000"/>
                <w:spacing w:val="-5"/>
                <w:lang w:val="ru-RU" w:eastAsia="uk-UA"/>
              </w:rPr>
              <w:t xml:space="preserve">Директор </w:t>
            </w:r>
            <w:proofErr w:type="gramStart"/>
            <w:r w:rsidRPr="006D5A7D">
              <w:rPr>
                <w:rFonts w:ascii="Times New Roman" w:hAnsi="Times New Roman" w:cs="Times New Roman"/>
                <w:color w:val="000000"/>
                <w:spacing w:val="-5"/>
                <w:lang w:val="ru-RU" w:eastAsia="uk-UA"/>
              </w:rPr>
              <w:t>ТОВ</w:t>
            </w:r>
            <w:proofErr w:type="gramEnd"/>
            <w:r w:rsidRPr="006D5A7D">
              <w:rPr>
                <w:rFonts w:ascii="Times New Roman" w:hAnsi="Times New Roman" w:cs="Times New Roman"/>
                <w:color w:val="000000"/>
                <w:spacing w:val="-5"/>
                <w:lang w:val="ru-RU" w:eastAsia="uk-UA"/>
              </w:rPr>
              <w:t xml:space="preserve"> «Прометей» Мальченко В.Л</w:t>
            </w:r>
          </w:p>
        </w:tc>
        <w:tc>
          <w:tcPr>
            <w:tcW w:w="1453" w:type="dxa"/>
          </w:tcPr>
          <w:p w14:paraId="107F6D87" w14:textId="10D2610C" w:rsidR="006D5A7D" w:rsidRPr="00C53672" w:rsidRDefault="00BE2654" w:rsidP="00BE26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6D5A7D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6D5A7D">
              <w:rPr>
                <w:rFonts w:ascii="Times New Roman" w:hAnsi="Times New Roman" w:cs="Times New Roman"/>
                <w:color w:val="000000"/>
                <w:spacing w:val="-5"/>
                <w:lang w:val="ru-RU" w:eastAsia="uk-UA"/>
              </w:rPr>
              <w:t>*</w:t>
            </w:r>
          </w:p>
        </w:tc>
        <w:tc>
          <w:tcPr>
            <w:tcW w:w="2944" w:type="dxa"/>
          </w:tcPr>
          <w:p w14:paraId="0399838D" w14:textId="07A4B427" w:rsidR="006D5A7D" w:rsidRPr="00963BD8" w:rsidRDefault="006D5A7D" w:rsidP="00D70795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CFCFC"/>
              </w:rPr>
            </w:pPr>
            <w:r w:rsidRPr="006D5A7D">
              <w:rPr>
                <w:rFonts w:ascii="Times New Roman" w:hAnsi="Times New Roman" w:cs="Times New Roman"/>
                <w:shd w:val="clear" w:color="auto" w:fill="FCFCFC"/>
              </w:rPr>
              <w:t xml:space="preserve">Сутність та зміст </w:t>
            </w:r>
            <w:proofErr w:type="spellStart"/>
            <w:r w:rsidRPr="006D5A7D">
              <w:rPr>
                <w:rFonts w:ascii="Times New Roman" w:hAnsi="Times New Roman" w:cs="Times New Roman"/>
                <w:shd w:val="clear" w:color="auto" w:fill="FCFCFC"/>
              </w:rPr>
              <w:t>кон’юнктуроутворювальних</w:t>
            </w:r>
            <w:proofErr w:type="spellEnd"/>
            <w:r w:rsidRPr="006D5A7D">
              <w:rPr>
                <w:rFonts w:ascii="Times New Roman" w:hAnsi="Times New Roman" w:cs="Times New Roman"/>
                <w:shd w:val="clear" w:color="auto" w:fill="FCFCFC"/>
              </w:rPr>
              <w:t xml:space="preserve"> факторів, засвоєння їх класифікації, визначення особливостей факторів, пов’язаних з економічними циклами, оцінка впливу </w:t>
            </w:r>
            <w:proofErr w:type="spellStart"/>
            <w:r w:rsidRPr="006D5A7D">
              <w:rPr>
                <w:rFonts w:ascii="Times New Roman" w:hAnsi="Times New Roman" w:cs="Times New Roman"/>
                <w:shd w:val="clear" w:color="auto" w:fill="FCFCFC"/>
              </w:rPr>
              <w:t>постійнодіючих</w:t>
            </w:r>
            <w:proofErr w:type="spellEnd"/>
            <w:r w:rsidRPr="006D5A7D">
              <w:rPr>
                <w:rFonts w:ascii="Times New Roman" w:hAnsi="Times New Roman" w:cs="Times New Roman"/>
                <w:shd w:val="clear" w:color="auto" w:fill="FCFCFC"/>
              </w:rPr>
              <w:t xml:space="preserve"> та тимчасових нециклічних факторів на загальногосподарську кон’юнктуру та кон’юнктуру товарних ринків.</w:t>
            </w:r>
            <w:r w:rsidRPr="00D70795">
              <w:rPr>
                <w:rFonts w:ascii="Times New Roman" w:hAnsi="Times New Roman" w:cs="Times New Roman"/>
                <w:shd w:val="clear" w:color="auto" w:fill="FCFCFC"/>
              </w:rPr>
              <w:t>.</w:t>
            </w:r>
          </w:p>
        </w:tc>
        <w:tc>
          <w:tcPr>
            <w:tcW w:w="2909" w:type="dxa"/>
          </w:tcPr>
          <w:p w14:paraId="31D3DC1A" w14:textId="6FC9F06E" w:rsidR="009B4DB1" w:rsidRPr="009B4DB1" w:rsidRDefault="006D5A7D" w:rsidP="009B4DB1">
            <w:pPr>
              <w:rPr>
                <w:rFonts w:ascii="Times New Roman" w:hAnsi="Times New Roman" w:cs="Times New Roman"/>
              </w:rPr>
            </w:pPr>
            <w:r w:rsidRPr="00AE7C06">
              <w:rPr>
                <w:rFonts w:ascii="Times New Roman" w:hAnsi="Times New Roman" w:cs="Times New Roman"/>
              </w:rPr>
              <w:t xml:space="preserve">Опрацювання лекційного матеріалу, </w:t>
            </w:r>
            <w:r w:rsidR="009F0FB8">
              <w:rPr>
                <w:rFonts w:ascii="Times New Roman" w:hAnsi="Times New Roman" w:cs="Times New Roman"/>
              </w:rPr>
              <w:t>вивчення</w:t>
            </w:r>
            <w:r w:rsidRPr="00AE7C06">
              <w:rPr>
                <w:rFonts w:ascii="Times New Roman" w:hAnsi="Times New Roman" w:cs="Times New Roman"/>
              </w:rPr>
              <w:t xml:space="preserve"> </w:t>
            </w:r>
            <w:r w:rsidR="009B4DB1">
              <w:rPr>
                <w:rFonts w:ascii="Times New Roman" w:hAnsi="Times New Roman" w:cs="Times New Roman"/>
              </w:rPr>
              <w:t>ф</w:t>
            </w:r>
            <w:r w:rsidR="009B4DB1" w:rsidRPr="009B4DB1">
              <w:rPr>
                <w:rFonts w:ascii="Times New Roman" w:hAnsi="Times New Roman" w:cs="Times New Roman"/>
              </w:rPr>
              <w:t>актор</w:t>
            </w:r>
            <w:r w:rsidR="009F0FB8">
              <w:rPr>
                <w:rFonts w:ascii="Times New Roman" w:hAnsi="Times New Roman" w:cs="Times New Roman"/>
              </w:rPr>
              <w:t>ів формування та умов</w:t>
            </w:r>
            <w:r w:rsidR="009B4DB1" w:rsidRPr="009B4DB1">
              <w:rPr>
                <w:rFonts w:ascii="Times New Roman" w:hAnsi="Times New Roman" w:cs="Times New Roman"/>
              </w:rPr>
              <w:t xml:space="preserve"> розвитку загальногосподарської </w:t>
            </w:r>
          </w:p>
          <w:p w14:paraId="7A74E2FE" w14:textId="27AFAB96" w:rsidR="006D5A7D" w:rsidRPr="00C53672" w:rsidRDefault="009B4DB1" w:rsidP="009B4DB1">
            <w:pPr>
              <w:rPr>
                <w:rFonts w:ascii="Times New Roman" w:hAnsi="Times New Roman" w:cs="Times New Roman"/>
              </w:rPr>
            </w:pPr>
            <w:r w:rsidRPr="009B4DB1">
              <w:rPr>
                <w:rFonts w:ascii="Times New Roman" w:hAnsi="Times New Roman" w:cs="Times New Roman"/>
              </w:rPr>
              <w:t>кон’юнктури та кон’юнктури товарних ринків</w:t>
            </w:r>
            <w:r w:rsidR="006D5A7D">
              <w:rPr>
                <w:rFonts w:ascii="Times New Roman" w:hAnsi="Times New Roman" w:cs="Times New Roman"/>
              </w:rPr>
              <w:t>.</w:t>
            </w:r>
          </w:p>
          <w:p w14:paraId="335871D8" w14:textId="4143B80B" w:rsidR="006D5A7D" w:rsidRPr="00C53672" w:rsidRDefault="006D5A7D" w:rsidP="00AF6C7F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63143918" w14:textId="2B3138FB" w:rsidR="006D5A7D" w:rsidRPr="00C53672" w:rsidRDefault="006D5A7D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6D5A7D" w:rsidRPr="00C53672" w14:paraId="3F82236C" w14:textId="77777777" w:rsidTr="006D5A7D">
        <w:tc>
          <w:tcPr>
            <w:tcW w:w="2615" w:type="dxa"/>
          </w:tcPr>
          <w:p w14:paraId="2205DEBA" w14:textId="521AFF8A" w:rsidR="006D5A7D" w:rsidRPr="006D5A7D" w:rsidRDefault="006D5A7D" w:rsidP="00B8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5"/>
                <w:lang w:val="ru-RU" w:eastAsia="uk-UA"/>
              </w:rPr>
            </w:pPr>
            <w:r w:rsidRPr="006D5A7D">
              <w:rPr>
                <w:rFonts w:ascii="Times New Roman" w:hAnsi="Times New Roman" w:cs="Times New Roman"/>
                <w:b/>
                <w:bCs/>
              </w:rPr>
              <w:t>Тема 3</w:t>
            </w:r>
            <w:r w:rsidRPr="006D5A7D">
              <w:rPr>
                <w:rFonts w:ascii="Times New Roman" w:hAnsi="Times New Roman" w:cs="Times New Roman"/>
                <w:b/>
              </w:rPr>
              <w:t>. Теоретичні засади дослідження кон’юнктури ринку</w:t>
            </w:r>
          </w:p>
        </w:tc>
        <w:tc>
          <w:tcPr>
            <w:tcW w:w="1453" w:type="dxa"/>
          </w:tcPr>
          <w:p w14:paraId="563E3D17" w14:textId="1C0EBBBF" w:rsidR="006D5A7D" w:rsidRPr="00C53672" w:rsidRDefault="00BE2654" w:rsidP="00BE26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6D5A7D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944" w:type="dxa"/>
          </w:tcPr>
          <w:p w14:paraId="2CBA8C0D" w14:textId="7CE11229" w:rsidR="006D5A7D" w:rsidRPr="00963BD8" w:rsidRDefault="006D5A7D" w:rsidP="00D7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</w:pPr>
            <w:r w:rsidRPr="006D5A7D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Теоретичні засади </w:t>
            </w:r>
            <w:proofErr w:type="spellStart"/>
            <w:r w:rsidRPr="006D5A7D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кон’юнкту</w:t>
            </w:r>
            <w:r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-</w:t>
            </w:r>
            <w:r w:rsidRPr="006D5A7D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рного</w:t>
            </w:r>
            <w:proofErr w:type="spellEnd"/>
            <w:r w:rsidRPr="006D5A7D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 дослідження галузевого ринку. Сутність і завдання кон’юнктурних досліджень. Роль і місце кон’юнктурних досліджень у системі ринкових досліджень. Науковий підхід до проведення кон’юнктурного дослідження. Етапи дослідження. Класифікація напрямів вивчення ринку. Інформаційне </w:t>
            </w:r>
            <w:proofErr w:type="spellStart"/>
            <w:r w:rsidRPr="006D5A7D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забез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-</w:t>
            </w:r>
            <w:r w:rsidRPr="006D5A7D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печення і кон’юнктурні дослідження. Класифікація інформації. Аналітична інформація.</w:t>
            </w:r>
          </w:p>
        </w:tc>
        <w:tc>
          <w:tcPr>
            <w:tcW w:w="2909" w:type="dxa"/>
          </w:tcPr>
          <w:p w14:paraId="1BEC974E" w14:textId="29E60F91" w:rsidR="006D5A7D" w:rsidRPr="00C53672" w:rsidRDefault="006D5A7D" w:rsidP="00400FBF">
            <w:pPr>
              <w:rPr>
                <w:rFonts w:ascii="Times New Roman" w:hAnsi="Times New Roman" w:cs="Times New Roman"/>
              </w:rPr>
            </w:pPr>
            <w:r w:rsidRPr="00A455FC">
              <w:rPr>
                <w:rFonts w:ascii="Times New Roman" w:hAnsi="Times New Roman" w:cs="Times New Roman"/>
              </w:rPr>
              <w:t xml:space="preserve">Опрацювання лекційного матеріалу, </w:t>
            </w:r>
            <w:r w:rsidRPr="00AE7C06">
              <w:rPr>
                <w:rFonts w:ascii="Times New Roman" w:hAnsi="Times New Roman" w:cs="Times New Roman"/>
              </w:rPr>
              <w:t xml:space="preserve">ознайомлення з </w:t>
            </w:r>
            <w:r w:rsidR="009B4DB1">
              <w:rPr>
                <w:rFonts w:ascii="Times New Roman" w:hAnsi="Times New Roman" w:cs="Times New Roman"/>
              </w:rPr>
              <w:t>т</w:t>
            </w:r>
            <w:r w:rsidR="009B4DB1" w:rsidRPr="009B4DB1">
              <w:rPr>
                <w:rFonts w:ascii="Times New Roman" w:hAnsi="Times New Roman" w:cs="Times New Roman"/>
              </w:rPr>
              <w:t>еоретичн</w:t>
            </w:r>
            <w:r w:rsidR="009B4DB1">
              <w:rPr>
                <w:rFonts w:ascii="Times New Roman" w:hAnsi="Times New Roman" w:cs="Times New Roman"/>
              </w:rPr>
              <w:t>ими</w:t>
            </w:r>
            <w:r w:rsidR="009B4DB1" w:rsidRPr="009B4DB1">
              <w:rPr>
                <w:rFonts w:ascii="Times New Roman" w:hAnsi="Times New Roman" w:cs="Times New Roman"/>
              </w:rPr>
              <w:t xml:space="preserve"> засад</w:t>
            </w:r>
            <w:r w:rsidR="009B4DB1">
              <w:rPr>
                <w:rFonts w:ascii="Times New Roman" w:hAnsi="Times New Roman" w:cs="Times New Roman"/>
              </w:rPr>
              <w:t>ам</w:t>
            </w:r>
            <w:r w:rsidR="009B4DB1" w:rsidRPr="009B4DB1">
              <w:rPr>
                <w:rFonts w:ascii="Times New Roman" w:hAnsi="Times New Roman" w:cs="Times New Roman"/>
              </w:rPr>
              <w:t>и дослідження кон’юнктури ринку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B9B8965" w14:textId="5E7541E2" w:rsidR="006D5A7D" w:rsidRPr="00C53672" w:rsidRDefault="006D5A7D" w:rsidP="00400FBF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68F2A3C8" w14:textId="7DCE3B9B" w:rsidR="006D5A7D" w:rsidRPr="00C53672" w:rsidRDefault="006D5A7D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6D5A7D" w:rsidRPr="00C53672" w14:paraId="432738ED" w14:textId="77777777" w:rsidTr="009A7CB7">
        <w:trPr>
          <w:trHeight w:val="3111"/>
        </w:trPr>
        <w:tc>
          <w:tcPr>
            <w:tcW w:w="2615" w:type="dxa"/>
          </w:tcPr>
          <w:p w14:paraId="3A73993D" w14:textId="70CA2C9E" w:rsidR="006D5A7D" w:rsidRPr="006D5A7D" w:rsidRDefault="006D5A7D" w:rsidP="002A4800">
            <w:pPr>
              <w:pStyle w:val="ad"/>
              <w:ind w:left="0"/>
              <w:rPr>
                <w:b/>
                <w:sz w:val="20"/>
                <w:szCs w:val="20"/>
              </w:rPr>
            </w:pPr>
            <w:r w:rsidRPr="006D5A7D">
              <w:rPr>
                <w:b/>
                <w:bCs/>
                <w:sz w:val="20"/>
                <w:szCs w:val="20"/>
                <w:lang w:val="uk-UA"/>
              </w:rPr>
              <w:lastRenderedPageBreak/>
              <w:t>Тема 4. Дослідження рівноваги в економіці.</w:t>
            </w:r>
          </w:p>
        </w:tc>
        <w:tc>
          <w:tcPr>
            <w:tcW w:w="1453" w:type="dxa"/>
          </w:tcPr>
          <w:p w14:paraId="7FCA88A8" w14:textId="7C455352" w:rsidR="006D5A7D" w:rsidRPr="00C53672" w:rsidRDefault="00BE2654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44" w:type="dxa"/>
          </w:tcPr>
          <w:p w14:paraId="17E98A86" w14:textId="130333A6" w:rsidR="006D5A7D" w:rsidRPr="006D5A7D" w:rsidRDefault="006D5A7D" w:rsidP="009540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5A7D">
              <w:rPr>
                <w:rFonts w:ascii="Times New Roman" w:eastAsia="Times New Roman" w:hAnsi="Times New Roman" w:cs="Times New Roman"/>
              </w:rPr>
              <w:t xml:space="preserve">Поняття рівноваги в економіці. Економічна статика і динаміка. Види економічних процесів: еволюційні, хвилеподібні. Зміст і види економічної кон’юнктури. Умовні показники кон’юнктури: кількісні та якісні. Аналіз динаміки і циклічності економічних процесів. Оцінка рівня коливань в економічній динаміці. Економічні барометри. Зміст та ендогенний механізм </w:t>
            </w:r>
            <w:proofErr w:type="spellStart"/>
            <w:r w:rsidRPr="006D5A7D">
              <w:rPr>
                <w:rFonts w:ascii="Times New Roman" w:eastAsia="Times New Roman" w:hAnsi="Times New Roman" w:cs="Times New Roman"/>
              </w:rPr>
              <w:t>довгоплинних</w:t>
            </w:r>
            <w:proofErr w:type="spellEnd"/>
            <w:r w:rsidRPr="006D5A7D">
              <w:rPr>
                <w:rFonts w:ascii="Times New Roman" w:eastAsia="Times New Roman" w:hAnsi="Times New Roman" w:cs="Times New Roman"/>
              </w:rPr>
              <w:t xml:space="preserve"> коливань. Малі цикли економічної кон’юнктури</w:t>
            </w:r>
          </w:p>
        </w:tc>
        <w:tc>
          <w:tcPr>
            <w:tcW w:w="2909" w:type="dxa"/>
          </w:tcPr>
          <w:p w14:paraId="06883298" w14:textId="3593D5F9" w:rsidR="00973E51" w:rsidRPr="00973E51" w:rsidRDefault="00973E51" w:rsidP="00973E51">
            <w:pPr>
              <w:jc w:val="both"/>
              <w:rPr>
                <w:rFonts w:ascii="Times New Roman" w:hAnsi="Times New Roman" w:cs="Times New Roman"/>
              </w:rPr>
            </w:pPr>
            <w:r w:rsidRPr="00973E51">
              <w:rPr>
                <w:rFonts w:ascii="Times New Roman" w:hAnsi="Times New Roman" w:cs="Times New Roman"/>
              </w:rPr>
              <w:t xml:space="preserve">Опрацювання лекційного матеріалу, </w:t>
            </w:r>
            <w:r w:rsidR="009F0FB8">
              <w:rPr>
                <w:rFonts w:ascii="Times New Roman" w:hAnsi="Times New Roman" w:cs="Times New Roman"/>
              </w:rPr>
              <w:t xml:space="preserve">засвоєння </w:t>
            </w:r>
            <w:r w:rsidRPr="00973E51">
              <w:rPr>
                <w:rFonts w:ascii="Times New Roman" w:hAnsi="Times New Roman" w:cs="Times New Roman"/>
              </w:rPr>
              <w:t>теоретични</w:t>
            </w:r>
            <w:r w:rsidR="009F0FB8">
              <w:rPr>
                <w:rFonts w:ascii="Times New Roman" w:hAnsi="Times New Roman" w:cs="Times New Roman"/>
              </w:rPr>
              <w:t>х</w:t>
            </w:r>
            <w:r w:rsidRPr="00973E51">
              <w:rPr>
                <w:rFonts w:ascii="Times New Roman" w:hAnsi="Times New Roman" w:cs="Times New Roman"/>
              </w:rPr>
              <w:t xml:space="preserve"> засад</w:t>
            </w:r>
            <w:r w:rsidR="009F0FB8">
              <w:rPr>
                <w:rFonts w:ascii="Times New Roman" w:hAnsi="Times New Roman" w:cs="Times New Roman"/>
              </w:rPr>
              <w:t xml:space="preserve"> </w:t>
            </w:r>
            <w:r w:rsidRPr="00973E51">
              <w:rPr>
                <w:rFonts w:ascii="Times New Roman" w:hAnsi="Times New Roman" w:cs="Times New Roman"/>
              </w:rPr>
              <w:t>дослідження кон’юнктури ринку.</w:t>
            </w:r>
          </w:p>
          <w:p w14:paraId="7573E2F6" w14:textId="3209A359" w:rsidR="006D5A7D" w:rsidRPr="00C53672" w:rsidRDefault="00973E51" w:rsidP="00973E51">
            <w:pPr>
              <w:jc w:val="both"/>
              <w:rPr>
                <w:rFonts w:ascii="Times New Roman" w:hAnsi="Times New Roman" w:cs="Times New Roman"/>
              </w:rPr>
            </w:pPr>
            <w:r w:rsidRPr="009F0FB8">
              <w:rPr>
                <w:rFonts w:ascii="Times New Roman" w:hAnsi="Times New Roman" w:cs="Times New Roman"/>
              </w:rPr>
              <w:t xml:space="preserve">Виконання дослідницького завдання, наведеного в </w:t>
            </w:r>
            <w:proofErr w:type="spellStart"/>
            <w:r w:rsidRPr="009F0FB8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9F0FB8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9F0FB8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79D6DE9D" w14:textId="77777777" w:rsidR="006D5A7D" w:rsidRDefault="006D5A7D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0BC2" w:rsidRPr="00C53672" w14:paraId="5FCDC219" w14:textId="77777777" w:rsidTr="006D5A7D">
        <w:trPr>
          <w:trHeight w:val="139"/>
        </w:trPr>
        <w:tc>
          <w:tcPr>
            <w:tcW w:w="2615" w:type="dxa"/>
          </w:tcPr>
          <w:p w14:paraId="0BB10CB0" w14:textId="6C1BE51C" w:rsidR="001E0BC2" w:rsidRPr="00C53672" w:rsidRDefault="001E0BC2" w:rsidP="002A4800">
            <w:pPr>
              <w:pStyle w:val="ad"/>
              <w:ind w:left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53672">
              <w:rPr>
                <w:b/>
                <w:sz w:val="20"/>
                <w:szCs w:val="20"/>
              </w:rPr>
              <w:t>Модульний</w:t>
            </w:r>
            <w:proofErr w:type="spellEnd"/>
            <w:r w:rsidRPr="00C53672">
              <w:rPr>
                <w:b/>
                <w:sz w:val="20"/>
                <w:szCs w:val="20"/>
              </w:rPr>
              <w:t xml:space="preserve"> контроль</w:t>
            </w:r>
          </w:p>
        </w:tc>
        <w:tc>
          <w:tcPr>
            <w:tcW w:w="1453" w:type="dxa"/>
          </w:tcPr>
          <w:p w14:paraId="224078EE" w14:textId="77777777" w:rsidR="001E0BC2" w:rsidRPr="00C53672" w:rsidRDefault="001E0BC2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4" w:type="dxa"/>
          </w:tcPr>
          <w:p w14:paraId="1E6C16C2" w14:textId="77777777" w:rsidR="001E0BC2" w:rsidRPr="009A391F" w:rsidRDefault="001E0BC2" w:rsidP="009540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14:paraId="33B1D137" w14:textId="77777777" w:rsidR="001E0BC2" w:rsidRPr="00C53672" w:rsidRDefault="001E0BC2" w:rsidP="00B366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47B4026C" w14:textId="5E157F2A" w:rsidR="001E0BC2" w:rsidRPr="00C53672" w:rsidRDefault="009A7CB7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1E0BC2" w:rsidRPr="00C53672" w14:paraId="2C2BAD48" w14:textId="77777777" w:rsidTr="00AC746D">
        <w:tc>
          <w:tcPr>
            <w:tcW w:w="10799" w:type="dxa"/>
            <w:gridSpan w:val="5"/>
          </w:tcPr>
          <w:p w14:paraId="1A403486" w14:textId="21E1F1B4" w:rsidR="001E0BC2" w:rsidRPr="009A391F" w:rsidRDefault="001E0BC2" w:rsidP="009540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391F">
              <w:rPr>
                <w:rFonts w:ascii="Times New Roman" w:eastAsia="Times New Roman" w:hAnsi="Times New Roman" w:cs="Times New Roman"/>
                <w:b/>
              </w:rPr>
              <w:t>Змістовий модуль 2</w:t>
            </w:r>
          </w:p>
        </w:tc>
      </w:tr>
      <w:tr w:rsidR="006D5A7D" w:rsidRPr="00C53672" w14:paraId="65F4E440" w14:textId="77777777" w:rsidTr="009F0FB8">
        <w:trPr>
          <w:trHeight w:val="2683"/>
        </w:trPr>
        <w:tc>
          <w:tcPr>
            <w:tcW w:w="2615" w:type="dxa"/>
          </w:tcPr>
          <w:p w14:paraId="4891BA2D" w14:textId="73B646AF" w:rsidR="006D5A7D" w:rsidRPr="006D5A7D" w:rsidRDefault="006D5A7D" w:rsidP="009A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color w:val="000000"/>
                <w:spacing w:val="-8"/>
                <w:lang w:eastAsia="uk-UA"/>
              </w:rPr>
            </w:pPr>
            <w:r w:rsidRPr="006D5A7D">
              <w:rPr>
                <w:rFonts w:ascii="Times New Roman" w:hAnsi="Times New Roman" w:cs="Times New Roman"/>
                <w:b/>
                <w:szCs w:val="28"/>
              </w:rPr>
              <w:t>Тема 5</w:t>
            </w:r>
            <w:r w:rsidRPr="006D5A7D">
              <w:rPr>
                <w:rFonts w:ascii="Times New Roman" w:hAnsi="Times New Roman" w:cs="Times New Roman"/>
                <w:b/>
              </w:rPr>
              <w:t xml:space="preserve">. Особливості та специфіка методики дослідження кон’юнктури ринку. </w:t>
            </w:r>
          </w:p>
        </w:tc>
        <w:tc>
          <w:tcPr>
            <w:tcW w:w="1453" w:type="dxa"/>
          </w:tcPr>
          <w:p w14:paraId="19A03E92" w14:textId="3A4166B9" w:rsidR="006D5A7D" w:rsidRPr="00C53672" w:rsidRDefault="009F0FB8" w:rsidP="009F0F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6D5A7D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944" w:type="dxa"/>
          </w:tcPr>
          <w:p w14:paraId="338D21EF" w14:textId="315319FC" w:rsidR="006D5A7D" w:rsidRPr="009A391F" w:rsidRDefault="00BE2654" w:rsidP="00985DD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BE2654">
              <w:rPr>
                <w:rFonts w:ascii="Times New Roman" w:hAnsi="Times New Roman" w:cs="Times New Roman"/>
                <w:szCs w:val="28"/>
              </w:rPr>
              <w:t>Основи методики кон’юнктурних досліджень. Вивчення основних рис і особливостей розроблення методики дослідження кон'юнктури. Особливості дослідження кон'юнктури окремих видів ринків.</w:t>
            </w:r>
          </w:p>
        </w:tc>
        <w:tc>
          <w:tcPr>
            <w:tcW w:w="2909" w:type="dxa"/>
          </w:tcPr>
          <w:p w14:paraId="1D8B4B6B" w14:textId="4993E3DF" w:rsidR="006D5A7D" w:rsidRPr="00456411" w:rsidRDefault="006D5A7D" w:rsidP="0039333D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456411">
              <w:rPr>
                <w:rFonts w:ascii="Times New Roman" w:hAnsi="Times New Roman" w:cs="Times New Roman"/>
              </w:rPr>
              <w:t xml:space="preserve">матеріалу, </w:t>
            </w:r>
            <w:r w:rsidR="009F0FB8">
              <w:rPr>
                <w:rFonts w:ascii="Times New Roman" w:hAnsi="Times New Roman" w:cs="Times New Roman"/>
              </w:rPr>
              <w:t>вивчення о</w:t>
            </w:r>
            <w:r w:rsidR="009F0FB8" w:rsidRPr="009F0FB8">
              <w:rPr>
                <w:rFonts w:ascii="Times New Roman" w:hAnsi="Times New Roman" w:cs="Times New Roman"/>
              </w:rPr>
              <w:t>собливост</w:t>
            </w:r>
            <w:r w:rsidR="009F0FB8">
              <w:rPr>
                <w:rFonts w:ascii="Times New Roman" w:hAnsi="Times New Roman" w:cs="Times New Roman"/>
              </w:rPr>
              <w:t>ей</w:t>
            </w:r>
            <w:r w:rsidR="009F0FB8" w:rsidRPr="009F0FB8">
              <w:rPr>
                <w:rFonts w:ascii="Times New Roman" w:hAnsi="Times New Roman" w:cs="Times New Roman"/>
              </w:rPr>
              <w:t xml:space="preserve"> та специфік</w:t>
            </w:r>
            <w:r w:rsidR="009F0FB8">
              <w:rPr>
                <w:rFonts w:ascii="Times New Roman" w:hAnsi="Times New Roman" w:cs="Times New Roman"/>
              </w:rPr>
              <w:t>и</w:t>
            </w:r>
            <w:r w:rsidR="009F0FB8" w:rsidRPr="009F0FB8">
              <w:rPr>
                <w:rFonts w:ascii="Times New Roman" w:hAnsi="Times New Roman" w:cs="Times New Roman"/>
              </w:rPr>
              <w:t xml:space="preserve"> методики дослідження кон’юнктури ринку.</w:t>
            </w:r>
          </w:p>
          <w:p w14:paraId="485B9ED2" w14:textId="03D8F894" w:rsidR="006D5A7D" w:rsidRPr="00C53672" w:rsidRDefault="006D5A7D" w:rsidP="00362542">
            <w:pPr>
              <w:rPr>
                <w:rFonts w:ascii="Times New Roman" w:eastAsia="Times New Roman" w:hAnsi="Times New Roman" w:cs="Times New Roman"/>
                <w:b/>
              </w:rPr>
            </w:pPr>
            <w:r w:rsidRPr="00456411">
              <w:rPr>
                <w:rFonts w:ascii="Times New Roman" w:hAnsi="Times New Roman" w:cs="Times New Roman"/>
              </w:rPr>
              <w:t>Виконання 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7DE8C5B0" w14:textId="4BFDAC7A" w:rsidR="006D5A7D" w:rsidRPr="00C53672" w:rsidRDefault="009A7CB7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6D5A7D" w:rsidRPr="00C53672" w14:paraId="10CC9B97" w14:textId="77777777" w:rsidTr="006D5A7D">
        <w:tc>
          <w:tcPr>
            <w:tcW w:w="2615" w:type="dxa"/>
          </w:tcPr>
          <w:p w14:paraId="396D9D82" w14:textId="71690680" w:rsidR="006D5A7D" w:rsidRPr="006D5A7D" w:rsidRDefault="006D5A7D" w:rsidP="009A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  <w:r w:rsidRPr="006D5A7D">
              <w:rPr>
                <w:rFonts w:ascii="Times New Roman" w:hAnsi="Times New Roman" w:cs="Times New Roman"/>
                <w:b/>
              </w:rPr>
              <w:t>Тема 6. Характеристика кон’юнктурних показників.</w:t>
            </w:r>
          </w:p>
        </w:tc>
        <w:tc>
          <w:tcPr>
            <w:tcW w:w="1453" w:type="dxa"/>
          </w:tcPr>
          <w:p w14:paraId="3D40517A" w14:textId="3F350E08" w:rsidR="006D5A7D" w:rsidRPr="00C53672" w:rsidRDefault="009F0FB8" w:rsidP="009F0F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6D5A7D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944" w:type="dxa"/>
          </w:tcPr>
          <w:p w14:paraId="67829993" w14:textId="65A81990" w:rsidR="006D5A7D" w:rsidRPr="00963BD8" w:rsidRDefault="00BE2654" w:rsidP="008C1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654">
              <w:rPr>
                <w:rFonts w:ascii="Times New Roman" w:eastAsia="Times New Roman" w:hAnsi="Times New Roman" w:cs="Times New Roman"/>
              </w:rPr>
              <w:t>Система кон'юнктурних показників. Основні вимоги до використання економічних показників у кон'юнктурному аналізі. Класифікація показників кон'юнктури ринку. Особливості розрахунку основних показників ринкової кон'юнктури. Ціни і цінові показники кон'юнктури. Попит і ціноутворення</w:t>
            </w:r>
          </w:p>
        </w:tc>
        <w:tc>
          <w:tcPr>
            <w:tcW w:w="2909" w:type="dxa"/>
          </w:tcPr>
          <w:p w14:paraId="72C3F9A7" w14:textId="77777777" w:rsidR="009F0FB8" w:rsidRDefault="006D5A7D" w:rsidP="009F0FB8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 w:rsidRPr="00456411">
              <w:rPr>
                <w:rFonts w:ascii="Times New Roman" w:hAnsi="Times New Roman" w:cs="Times New Roman"/>
              </w:rPr>
              <w:t xml:space="preserve">, </w:t>
            </w:r>
            <w:r w:rsidR="009F0FB8">
              <w:rPr>
                <w:rFonts w:ascii="Times New Roman" w:hAnsi="Times New Roman" w:cs="Times New Roman"/>
              </w:rPr>
              <w:t xml:space="preserve">засвоєння </w:t>
            </w:r>
            <w:r w:rsidR="009F0FB8" w:rsidRPr="009F0FB8">
              <w:rPr>
                <w:rFonts w:ascii="Times New Roman" w:hAnsi="Times New Roman" w:cs="Times New Roman"/>
              </w:rPr>
              <w:t>кон’юнктурних показників</w:t>
            </w:r>
            <w:r w:rsidR="009F0FB8">
              <w:rPr>
                <w:rFonts w:ascii="Times New Roman" w:hAnsi="Times New Roman" w:cs="Times New Roman"/>
              </w:rPr>
              <w:t xml:space="preserve">  та їх х</w:t>
            </w:r>
            <w:r w:rsidR="009F0FB8" w:rsidRPr="009F0FB8">
              <w:rPr>
                <w:rFonts w:ascii="Times New Roman" w:hAnsi="Times New Roman" w:cs="Times New Roman"/>
              </w:rPr>
              <w:t>арактеристика.</w:t>
            </w:r>
            <w:r w:rsidR="009F0FB8">
              <w:rPr>
                <w:rFonts w:ascii="Times New Roman" w:hAnsi="Times New Roman" w:cs="Times New Roman"/>
              </w:rPr>
              <w:t xml:space="preserve"> </w:t>
            </w:r>
          </w:p>
          <w:p w14:paraId="184A7798" w14:textId="634D6C0F" w:rsidR="006D5A7D" w:rsidRPr="00C53672" w:rsidRDefault="006D5A7D" w:rsidP="009F0FB8">
            <w:pPr>
              <w:rPr>
                <w:rFonts w:ascii="Times New Roman" w:eastAsia="Times New Roman" w:hAnsi="Times New Roman" w:cs="Times New Roman"/>
                <w:b/>
              </w:rPr>
            </w:pPr>
            <w:r w:rsidRPr="00456411">
              <w:rPr>
                <w:rFonts w:ascii="Times New Roman" w:hAnsi="Times New Roman" w:cs="Times New Roman"/>
              </w:rPr>
              <w:t>Виконання</w:t>
            </w:r>
            <w:r w:rsidRPr="00C536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7BDAB7DD" w14:textId="5D5F3C7E" w:rsidR="006D5A7D" w:rsidRPr="00C53672" w:rsidRDefault="009A7CB7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6D5A7D" w:rsidRPr="00C53672" w14:paraId="2932B775" w14:textId="77777777" w:rsidTr="006D5A7D">
        <w:tc>
          <w:tcPr>
            <w:tcW w:w="2615" w:type="dxa"/>
          </w:tcPr>
          <w:p w14:paraId="251FDCB0" w14:textId="4C0611C2" w:rsidR="006D5A7D" w:rsidRPr="006D5A7D" w:rsidRDefault="006D5A7D" w:rsidP="009A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  <w:r w:rsidRPr="006D5A7D">
              <w:rPr>
                <w:rFonts w:ascii="Times New Roman" w:hAnsi="Times New Roman" w:cs="Times New Roman"/>
                <w:b/>
              </w:rPr>
              <w:t xml:space="preserve">Тема 7. Методи аналізу кон’юнктури галузевого ринку. Кон’юнктурні оцінки ринкової ситуації. </w:t>
            </w:r>
          </w:p>
        </w:tc>
        <w:tc>
          <w:tcPr>
            <w:tcW w:w="1453" w:type="dxa"/>
          </w:tcPr>
          <w:p w14:paraId="526201A9" w14:textId="77C3D871" w:rsidR="006D5A7D" w:rsidRPr="00C53672" w:rsidRDefault="009F0FB8" w:rsidP="009F0F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6D5A7D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944" w:type="dxa"/>
          </w:tcPr>
          <w:p w14:paraId="14E6934E" w14:textId="3D22E733" w:rsidR="006D5A7D" w:rsidRPr="009A391F" w:rsidRDefault="00BE2654" w:rsidP="008C131D">
            <w:pPr>
              <w:jc w:val="both"/>
              <w:rPr>
                <w:rFonts w:ascii="Times New Roman" w:hAnsi="Times New Roman" w:cs="Times New Roman"/>
              </w:rPr>
            </w:pPr>
            <w:r w:rsidRPr="00BE2654">
              <w:rPr>
                <w:rFonts w:ascii="Times New Roman" w:hAnsi="Times New Roman" w:cs="Times New Roman"/>
              </w:rPr>
              <w:t>Аналіз кон'юнктури. Методи аналізу основних тенденцій кон'юнктури. Класифікація методів аналізу економічної кон'юнктури: загальноекономічні, економіко-статистичні, економіко-математичні. Кон'юнктурні оцінки ринкової ситуації. Оцінювання потенціалу та основних пропорцій ринку. Методи кон'юнктурного оцінювання підприємницького ризику.</w:t>
            </w:r>
          </w:p>
        </w:tc>
        <w:tc>
          <w:tcPr>
            <w:tcW w:w="2909" w:type="dxa"/>
          </w:tcPr>
          <w:p w14:paraId="4914E585" w14:textId="00CD9984" w:rsidR="009F0FB8" w:rsidRDefault="006D5A7D" w:rsidP="009F0FB8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>
              <w:rPr>
                <w:rFonts w:ascii="Times New Roman" w:hAnsi="Times New Roman" w:cs="Times New Roman"/>
              </w:rPr>
              <w:t>,</w:t>
            </w:r>
            <w:r w:rsidRPr="003459F8">
              <w:rPr>
                <w:rFonts w:ascii="Times New Roman" w:hAnsi="Times New Roman" w:cs="Times New Roman"/>
              </w:rPr>
              <w:t xml:space="preserve"> </w:t>
            </w:r>
            <w:r w:rsidR="009F0FB8">
              <w:rPr>
                <w:rFonts w:ascii="Times New Roman" w:hAnsi="Times New Roman" w:cs="Times New Roman"/>
              </w:rPr>
              <w:t>вивчення м</w:t>
            </w:r>
            <w:r w:rsidR="009F0FB8" w:rsidRPr="009F0FB8">
              <w:rPr>
                <w:rFonts w:ascii="Times New Roman" w:hAnsi="Times New Roman" w:cs="Times New Roman"/>
              </w:rPr>
              <w:t>етод</w:t>
            </w:r>
            <w:r w:rsidR="009F0FB8">
              <w:rPr>
                <w:rFonts w:ascii="Times New Roman" w:hAnsi="Times New Roman" w:cs="Times New Roman"/>
              </w:rPr>
              <w:t xml:space="preserve">ів </w:t>
            </w:r>
            <w:r w:rsidR="009F0FB8" w:rsidRPr="009F0FB8">
              <w:rPr>
                <w:rFonts w:ascii="Times New Roman" w:hAnsi="Times New Roman" w:cs="Times New Roman"/>
              </w:rPr>
              <w:t>аналізу кон’юнктури галузевого ринку. Кон’юнктурні оцінки ринкової ситуації.</w:t>
            </w:r>
            <w:r w:rsidRPr="008166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ADC1D1" w14:textId="41B5F33C" w:rsidR="006D5A7D" w:rsidRPr="00C53672" w:rsidRDefault="006D5A7D" w:rsidP="009F0FB8">
            <w:pPr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60F16EC0" w14:textId="107F0CB1" w:rsidR="006D5A7D" w:rsidRPr="00C53672" w:rsidRDefault="009A7CB7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6D5A7D" w:rsidRPr="00C53672" w14:paraId="76848145" w14:textId="77777777" w:rsidTr="006D5A7D">
        <w:tc>
          <w:tcPr>
            <w:tcW w:w="2615" w:type="dxa"/>
          </w:tcPr>
          <w:p w14:paraId="52BE339C" w14:textId="1007836F" w:rsidR="006D5A7D" w:rsidRPr="006D5A7D" w:rsidRDefault="006D5A7D" w:rsidP="00DB68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D5A7D">
              <w:rPr>
                <w:rFonts w:ascii="Times New Roman" w:hAnsi="Times New Roman" w:cs="Times New Roman"/>
                <w:b/>
              </w:rPr>
              <w:t>Тема 8. Організація та розробка кон’юнктурних прогнозів.</w:t>
            </w:r>
          </w:p>
        </w:tc>
        <w:tc>
          <w:tcPr>
            <w:tcW w:w="1453" w:type="dxa"/>
          </w:tcPr>
          <w:p w14:paraId="65CEB9B7" w14:textId="1BF56333" w:rsidR="006D5A7D" w:rsidRPr="00C53672" w:rsidRDefault="009F0FB8" w:rsidP="009F0F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6D5A7D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944" w:type="dxa"/>
          </w:tcPr>
          <w:p w14:paraId="46B79DB6" w14:textId="1D2B9B0B" w:rsidR="006D5A7D" w:rsidRPr="00651737" w:rsidRDefault="00BE2654" w:rsidP="00BE2654">
            <w:pPr>
              <w:rPr>
                <w:rFonts w:ascii="Times New Roman" w:hAnsi="Times New Roman" w:cs="Times New Roman"/>
              </w:rPr>
            </w:pPr>
            <w:r w:rsidRPr="00BE2654">
              <w:rPr>
                <w:rFonts w:ascii="Times New Roman" w:hAnsi="Times New Roman" w:cs="Times New Roman"/>
              </w:rPr>
              <w:t xml:space="preserve">Прогноз кон'юнктури. Організація розробки кон'юнктурних прогнозів. Особливості кон'юнктурних прогнозів. Методи прогнозування: екстраполяції, експертних оцінок, економічного моделювання. </w:t>
            </w:r>
            <w:r w:rsidRPr="00BE2654">
              <w:rPr>
                <w:rFonts w:ascii="Times New Roman" w:hAnsi="Times New Roman" w:cs="Times New Roman"/>
              </w:rPr>
              <w:lastRenderedPageBreak/>
              <w:t>Інтерпретація прогнозу, оцінка його достовірності. Упорядк</w:t>
            </w:r>
            <w:r>
              <w:rPr>
                <w:rFonts w:ascii="Times New Roman" w:hAnsi="Times New Roman" w:cs="Times New Roman"/>
              </w:rPr>
              <w:t>ування кон'юнктурного прогнозу.</w:t>
            </w:r>
          </w:p>
        </w:tc>
        <w:tc>
          <w:tcPr>
            <w:tcW w:w="2909" w:type="dxa"/>
          </w:tcPr>
          <w:p w14:paraId="0D2A2F1B" w14:textId="71C0B47F" w:rsidR="006D5A7D" w:rsidRPr="00C53672" w:rsidRDefault="006D5A7D" w:rsidP="009F0FB8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lastRenderedPageBreak/>
              <w:t>Опрацювання лекційного матеріалу</w:t>
            </w:r>
            <w:r>
              <w:rPr>
                <w:rFonts w:ascii="Times New Roman" w:hAnsi="Times New Roman" w:cs="Times New Roman"/>
              </w:rPr>
              <w:t>,</w:t>
            </w:r>
            <w:r w:rsidRPr="003459F8">
              <w:rPr>
                <w:rFonts w:ascii="Times New Roman" w:hAnsi="Times New Roman" w:cs="Times New Roman"/>
              </w:rPr>
              <w:t xml:space="preserve"> </w:t>
            </w:r>
            <w:r w:rsidR="009F0FB8">
              <w:rPr>
                <w:rFonts w:ascii="Times New Roman" w:hAnsi="Times New Roman" w:cs="Times New Roman"/>
              </w:rPr>
              <w:t xml:space="preserve">ознайомлення з організацією </w:t>
            </w:r>
            <w:r w:rsidR="009F0FB8" w:rsidRPr="009F0FB8">
              <w:rPr>
                <w:rFonts w:ascii="Times New Roman" w:hAnsi="Times New Roman" w:cs="Times New Roman"/>
              </w:rPr>
              <w:t xml:space="preserve"> та розробк</w:t>
            </w:r>
            <w:r w:rsidR="009F0FB8">
              <w:rPr>
                <w:rFonts w:ascii="Times New Roman" w:hAnsi="Times New Roman" w:cs="Times New Roman"/>
              </w:rPr>
              <w:t xml:space="preserve">ою </w:t>
            </w:r>
            <w:r w:rsidR="009F0FB8" w:rsidRPr="009F0FB8">
              <w:rPr>
                <w:rFonts w:ascii="Times New Roman" w:hAnsi="Times New Roman" w:cs="Times New Roman"/>
              </w:rPr>
              <w:t>кон’юнктурних прогнозів.</w:t>
            </w:r>
            <w:r w:rsidRPr="008166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</w:t>
            </w:r>
            <w:r w:rsidRPr="00C53672">
              <w:rPr>
                <w:rFonts w:ascii="Times New Roman" w:hAnsi="Times New Roman" w:cs="Times New Roman"/>
              </w:rPr>
              <w:lastRenderedPageBreak/>
              <w:t xml:space="preserve">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265DC613" w14:textId="7DB94DC1" w:rsidR="006D5A7D" w:rsidRPr="00C53672" w:rsidRDefault="009A7CB7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</w:tr>
      <w:tr w:rsidR="00651737" w:rsidRPr="00C53672" w14:paraId="7CD46758" w14:textId="77777777" w:rsidTr="006D5A7D">
        <w:tc>
          <w:tcPr>
            <w:tcW w:w="2615" w:type="dxa"/>
          </w:tcPr>
          <w:p w14:paraId="1878222D" w14:textId="2CFDCA36" w:rsidR="00651737" w:rsidRPr="00C53672" w:rsidRDefault="00651737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lastRenderedPageBreak/>
              <w:t>Модульний контроль</w:t>
            </w:r>
          </w:p>
        </w:tc>
        <w:tc>
          <w:tcPr>
            <w:tcW w:w="1453" w:type="dxa"/>
          </w:tcPr>
          <w:p w14:paraId="53C3E30D" w14:textId="77777777" w:rsidR="00651737" w:rsidRPr="00C53672" w:rsidRDefault="00651737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4" w:type="dxa"/>
          </w:tcPr>
          <w:p w14:paraId="1CEA473C" w14:textId="77777777" w:rsidR="00651737" w:rsidRPr="00C53672" w:rsidRDefault="00651737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14:paraId="62BB96A5" w14:textId="77777777" w:rsidR="00651737" w:rsidRPr="00C53672" w:rsidRDefault="00651737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18F2D94" w14:textId="2B671284" w:rsidR="00651737" w:rsidRPr="00C53672" w:rsidRDefault="009A7CB7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2528C5" w:rsidRPr="00C53672" w14:paraId="55413E0A" w14:textId="77777777" w:rsidTr="006D5A7D">
        <w:tc>
          <w:tcPr>
            <w:tcW w:w="2615" w:type="dxa"/>
          </w:tcPr>
          <w:p w14:paraId="34DB4143" w14:textId="00B7CDD2" w:rsidR="002528C5" w:rsidRPr="00C53672" w:rsidRDefault="002528C5" w:rsidP="00A10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Всього за семестр</w:t>
            </w:r>
          </w:p>
        </w:tc>
        <w:tc>
          <w:tcPr>
            <w:tcW w:w="1453" w:type="dxa"/>
          </w:tcPr>
          <w:p w14:paraId="5A636C6C" w14:textId="2FEB6BC7" w:rsidR="002528C5" w:rsidRPr="00C53672" w:rsidRDefault="009F0FB8" w:rsidP="00427F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30/28</w:t>
            </w:r>
          </w:p>
        </w:tc>
        <w:tc>
          <w:tcPr>
            <w:tcW w:w="2944" w:type="dxa"/>
          </w:tcPr>
          <w:p w14:paraId="33435735" w14:textId="77777777" w:rsidR="002528C5" w:rsidRPr="00C53672" w:rsidRDefault="002528C5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14:paraId="39755C47" w14:textId="77777777" w:rsidR="002528C5" w:rsidRPr="00C53672" w:rsidRDefault="002528C5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661E955" w14:textId="2D060530" w:rsidR="002528C5" w:rsidRPr="00C53672" w:rsidRDefault="002528C5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  <w:tr w:rsidR="002528C5" w:rsidRPr="00C53672" w14:paraId="5A5D7A23" w14:textId="77777777" w:rsidTr="006D5A7D">
        <w:tc>
          <w:tcPr>
            <w:tcW w:w="2615" w:type="dxa"/>
          </w:tcPr>
          <w:p w14:paraId="5805BB6F" w14:textId="237CCCD1" w:rsidR="002528C5" w:rsidRPr="00C53672" w:rsidRDefault="002528C5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1453" w:type="dxa"/>
          </w:tcPr>
          <w:p w14:paraId="6EF47F17" w14:textId="77777777" w:rsidR="002528C5" w:rsidRPr="00C53672" w:rsidRDefault="002528C5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4" w:type="dxa"/>
          </w:tcPr>
          <w:p w14:paraId="34BC9988" w14:textId="77777777" w:rsidR="002528C5" w:rsidRPr="00C53672" w:rsidRDefault="002528C5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14:paraId="425AB9C4" w14:textId="77777777" w:rsidR="002528C5" w:rsidRPr="00C53672" w:rsidRDefault="002528C5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2D95795C" w14:textId="535BF32D" w:rsidR="002528C5" w:rsidRPr="00C53672" w:rsidRDefault="002528C5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2528C5" w:rsidRPr="00C53672" w14:paraId="4CE61F48" w14:textId="77777777" w:rsidTr="006D5A7D">
        <w:tc>
          <w:tcPr>
            <w:tcW w:w="2615" w:type="dxa"/>
          </w:tcPr>
          <w:p w14:paraId="0FBA2201" w14:textId="49ADCCA1" w:rsidR="002528C5" w:rsidRPr="00C53672" w:rsidRDefault="002528C5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Всього за курс</w:t>
            </w:r>
          </w:p>
        </w:tc>
        <w:tc>
          <w:tcPr>
            <w:tcW w:w="1453" w:type="dxa"/>
          </w:tcPr>
          <w:p w14:paraId="72B73C01" w14:textId="77777777" w:rsidR="002528C5" w:rsidRPr="00C53672" w:rsidRDefault="002528C5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4" w:type="dxa"/>
          </w:tcPr>
          <w:p w14:paraId="7A85E2AD" w14:textId="77777777" w:rsidR="002528C5" w:rsidRPr="00C53672" w:rsidRDefault="002528C5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14:paraId="7D5611D6" w14:textId="77777777" w:rsidR="002528C5" w:rsidRPr="00C53672" w:rsidRDefault="002528C5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9F73CD8" w14:textId="4CCE0085" w:rsidR="002528C5" w:rsidRPr="00C53672" w:rsidRDefault="002528C5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14:paraId="28B4D916" w14:textId="77777777" w:rsidR="00AC746D" w:rsidRPr="00AC746D" w:rsidRDefault="00AC746D" w:rsidP="00AC746D">
      <w:pPr>
        <w:rPr>
          <w:rFonts w:ascii="Times New Roman" w:hAnsi="Times New Roman" w:cs="Times New Roman"/>
          <w:sz w:val="24"/>
        </w:rPr>
      </w:pPr>
      <w:r w:rsidRPr="00AC746D">
        <w:rPr>
          <w:rFonts w:ascii="Times New Roman" w:hAnsi="Times New Roman" w:cs="Times New Roman"/>
          <w:sz w:val="24"/>
        </w:rPr>
        <w:t xml:space="preserve">*залучені </w:t>
      </w:r>
      <w:proofErr w:type="spellStart"/>
      <w:r w:rsidRPr="00AC746D">
        <w:rPr>
          <w:rFonts w:ascii="Times New Roman" w:hAnsi="Times New Roman" w:cs="Times New Roman"/>
          <w:sz w:val="24"/>
        </w:rPr>
        <w:t>стейкхолдери</w:t>
      </w:r>
      <w:proofErr w:type="spellEnd"/>
      <w:r w:rsidRPr="00AC746D">
        <w:rPr>
          <w:rFonts w:ascii="Times New Roman" w:hAnsi="Times New Roman" w:cs="Times New Roman"/>
          <w:sz w:val="24"/>
        </w:rPr>
        <w:t xml:space="preserve"> для спільного проведення аудиторних занять: роботодавець</w:t>
      </w:r>
    </w:p>
    <w:p w14:paraId="3CF8F9DC" w14:textId="77777777" w:rsidR="00AC746D" w:rsidRPr="00AC746D" w:rsidRDefault="00AC746D" w:rsidP="00AC746D">
      <w:pPr>
        <w:ind w:left="7513" w:hanging="425"/>
        <w:rPr>
          <w:rFonts w:ascii="Times New Roman" w:hAnsi="Times New Roman" w:cs="Times New Roman"/>
        </w:rPr>
      </w:pPr>
    </w:p>
    <w:p w14:paraId="4C4C9881" w14:textId="77777777" w:rsidR="00360F8F" w:rsidRPr="009F0FB8" w:rsidRDefault="00360F8F" w:rsidP="00360F8F">
      <w:pPr>
        <w:pStyle w:val="1"/>
        <w:spacing w:before="0" w:after="0"/>
        <w:ind w:left="1142" w:right="804"/>
        <w:jc w:val="center"/>
        <w:rPr>
          <w:rFonts w:ascii="Times New Roman" w:hAnsi="Times New Roman" w:cs="Times New Roman"/>
          <w:sz w:val="22"/>
          <w:szCs w:val="22"/>
        </w:rPr>
      </w:pPr>
      <w:r w:rsidRPr="009F0FB8">
        <w:rPr>
          <w:rFonts w:ascii="Times New Roman" w:hAnsi="Times New Roman" w:cs="Times New Roman"/>
          <w:sz w:val="22"/>
          <w:szCs w:val="22"/>
        </w:rPr>
        <w:t>Розподіл</w:t>
      </w:r>
      <w:r w:rsidRPr="009F0FB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F0FB8">
        <w:rPr>
          <w:rFonts w:ascii="Times New Roman" w:hAnsi="Times New Roman" w:cs="Times New Roman"/>
          <w:sz w:val="22"/>
          <w:szCs w:val="22"/>
        </w:rPr>
        <w:t>балів,</w:t>
      </w:r>
      <w:r w:rsidRPr="009F0FB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9F0FB8">
        <w:rPr>
          <w:rFonts w:ascii="Times New Roman" w:hAnsi="Times New Roman" w:cs="Times New Roman"/>
          <w:sz w:val="22"/>
          <w:szCs w:val="22"/>
        </w:rPr>
        <w:t>присвоюваних</w:t>
      </w:r>
      <w:proofErr w:type="spellEnd"/>
      <w:r w:rsidRPr="009F0FB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F0FB8">
        <w:rPr>
          <w:rFonts w:ascii="Times New Roman" w:hAnsi="Times New Roman" w:cs="Times New Roman"/>
          <w:sz w:val="22"/>
          <w:szCs w:val="22"/>
        </w:rPr>
        <w:t>здобувачам</w:t>
      </w:r>
      <w:r w:rsidRPr="009F0FB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F0FB8">
        <w:rPr>
          <w:rFonts w:ascii="Times New Roman" w:hAnsi="Times New Roman" w:cs="Times New Roman"/>
          <w:sz w:val="22"/>
          <w:szCs w:val="22"/>
        </w:rPr>
        <w:t>при</w:t>
      </w:r>
      <w:r w:rsidRPr="009F0FB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0FB8">
        <w:rPr>
          <w:rFonts w:ascii="Times New Roman" w:hAnsi="Times New Roman" w:cs="Times New Roman"/>
          <w:sz w:val="22"/>
          <w:szCs w:val="22"/>
        </w:rPr>
        <w:t>вивченні</w:t>
      </w:r>
      <w:r w:rsidRPr="009F0FB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0FB8">
        <w:rPr>
          <w:rFonts w:ascii="Times New Roman" w:hAnsi="Times New Roman" w:cs="Times New Roman"/>
          <w:sz w:val="22"/>
          <w:szCs w:val="22"/>
        </w:rPr>
        <w:t>дисципліни</w:t>
      </w:r>
    </w:p>
    <w:p w14:paraId="3183632F" w14:textId="679617E2" w:rsidR="00360F8F" w:rsidRPr="009F0FB8" w:rsidRDefault="00360F8F" w:rsidP="00360F8F">
      <w:pPr>
        <w:ind w:left="1140" w:right="80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0FB8">
        <w:rPr>
          <w:rFonts w:ascii="Times New Roman" w:hAnsi="Times New Roman" w:cs="Times New Roman"/>
          <w:b/>
          <w:sz w:val="22"/>
          <w:szCs w:val="22"/>
        </w:rPr>
        <w:t>«</w:t>
      </w:r>
      <w:r w:rsidR="009A7CB7" w:rsidRPr="009A7CB7">
        <w:rPr>
          <w:rFonts w:ascii="Times New Roman" w:hAnsi="Times New Roman" w:cs="Times New Roman"/>
          <w:b/>
          <w:sz w:val="22"/>
          <w:szCs w:val="22"/>
        </w:rPr>
        <w:t>Кон’юнктура ринку</w:t>
      </w:r>
      <w:r w:rsidRPr="009F0FB8">
        <w:rPr>
          <w:rFonts w:ascii="Times New Roman" w:hAnsi="Times New Roman" w:cs="Times New Roman"/>
          <w:b/>
          <w:sz w:val="22"/>
          <w:szCs w:val="2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54"/>
        <w:gridCol w:w="522"/>
        <w:gridCol w:w="475"/>
        <w:gridCol w:w="570"/>
        <w:gridCol w:w="524"/>
        <w:gridCol w:w="524"/>
        <w:gridCol w:w="522"/>
        <w:gridCol w:w="524"/>
        <w:gridCol w:w="522"/>
        <w:gridCol w:w="530"/>
        <w:gridCol w:w="870"/>
        <w:gridCol w:w="868"/>
        <w:gridCol w:w="1029"/>
      </w:tblGrid>
      <w:tr w:rsidR="004B7A68" w:rsidRPr="004B7A68" w14:paraId="39F08D5A" w14:textId="77777777" w:rsidTr="007D2A80">
        <w:trPr>
          <w:trHeight w:val="358"/>
        </w:trPr>
        <w:tc>
          <w:tcPr>
            <w:tcW w:w="1244" w:type="pct"/>
            <w:shd w:val="clear" w:color="auto" w:fill="auto"/>
            <w:vAlign w:val="center"/>
          </w:tcPr>
          <w:p w14:paraId="32D288CD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b/>
                <w:lang w:eastAsia="ru-RU"/>
              </w:rPr>
              <w:t>Зміст</w:t>
            </w:r>
          </w:p>
        </w:tc>
        <w:tc>
          <w:tcPr>
            <w:tcW w:w="1205" w:type="pct"/>
            <w:gridSpan w:val="5"/>
            <w:shd w:val="clear" w:color="auto" w:fill="auto"/>
            <w:vAlign w:val="center"/>
          </w:tcPr>
          <w:p w14:paraId="51D6F31E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b/>
                <w:lang w:eastAsia="ru-RU"/>
              </w:rPr>
              <w:t>ЗМ 1</w:t>
            </w:r>
          </w:p>
        </w:tc>
        <w:tc>
          <w:tcPr>
            <w:tcW w:w="1241" w:type="pct"/>
            <w:gridSpan w:val="5"/>
          </w:tcPr>
          <w:p w14:paraId="3E39AD26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b/>
                <w:lang w:eastAsia="ru-RU"/>
              </w:rPr>
              <w:t>ЗМ 2</w:t>
            </w:r>
          </w:p>
        </w:tc>
        <w:tc>
          <w:tcPr>
            <w:tcW w:w="412" w:type="pct"/>
            <w:vMerge w:val="restart"/>
          </w:tcPr>
          <w:p w14:paraId="45B4702F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b/>
                <w:lang w:eastAsia="ru-RU"/>
              </w:rPr>
              <w:t>Сума</w:t>
            </w:r>
          </w:p>
          <w:p w14:paraId="36408BB3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53C1696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411" w:type="pct"/>
            <w:vMerge w:val="restart"/>
          </w:tcPr>
          <w:p w14:paraId="4D3B5A0C" w14:textId="77777777" w:rsidR="004B7A68" w:rsidRPr="004B7A68" w:rsidRDefault="004B7A68" w:rsidP="004B7A68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Екза-мен</w:t>
            </w:r>
            <w:proofErr w:type="spellEnd"/>
          </w:p>
        </w:tc>
        <w:tc>
          <w:tcPr>
            <w:tcW w:w="487" w:type="pct"/>
            <w:vMerge w:val="restart"/>
          </w:tcPr>
          <w:p w14:paraId="78FA6B3A" w14:textId="77777777" w:rsidR="004B7A68" w:rsidRPr="004B7A68" w:rsidRDefault="004B7A68" w:rsidP="004B7A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B7A68">
              <w:rPr>
                <w:rFonts w:ascii="Times New Roman" w:eastAsia="Times New Roman" w:hAnsi="Times New Roman" w:cs="Times New Roman"/>
                <w:lang w:val="ru-RU" w:eastAsia="ru-RU"/>
              </w:rPr>
              <w:t>Загальна</w:t>
            </w:r>
            <w:proofErr w:type="spellEnd"/>
            <w:r w:rsidRPr="004B7A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сума </w:t>
            </w:r>
            <w:proofErr w:type="spellStart"/>
            <w:r w:rsidRPr="004B7A68">
              <w:rPr>
                <w:rFonts w:ascii="Times New Roman" w:eastAsia="Times New Roman" w:hAnsi="Times New Roman" w:cs="Times New Roman"/>
                <w:lang w:val="ru-RU" w:eastAsia="ru-RU"/>
              </w:rPr>
              <w:t>балі</w:t>
            </w:r>
            <w:proofErr w:type="gramStart"/>
            <w:r w:rsidRPr="004B7A68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4B7A68" w:rsidRPr="004B7A68" w14:paraId="40D12518" w14:textId="77777777" w:rsidTr="007D2A80">
        <w:trPr>
          <w:trHeight w:val="413"/>
        </w:trPr>
        <w:tc>
          <w:tcPr>
            <w:tcW w:w="1244" w:type="pct"/>
            <w:shd w:val="clear" w:color="auto" w:fill="auto"/>
          </w:tcPr>
          <w:p w14:paraId="5C6B8425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Кількість балів за модуль</w:t>
            </w:r>
          </w:p>
        </w:tc>
        <w:tc>
          <w:tcPr>
            <w:tcW w:w="1205" w:type="pct"/>
            <w:gridSpan w:val="5"/>
            <w:shd w:val="clear" w:color="auto" w:fill="auto"/>
            <w:vAlign w:val="center"/>
          </w:tcPr>
          <w:p w14:paraId="23B9601A" w14:textId="77777777" w:rsidR="004B7A68" w:rsidRPr="004B7A68" w:rsidRDefault="004B7A68" w:rsidP="004B7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1" w:type="pct"/>
            <w:gridSpan w:val="5"/>
            <w:vAlign w:val="center"/>
          </w:tcPr>
          <w:p w14:paraId="19A88510" w14:textId="77777777" w:rsidR="004B7A68" w:rsidRPr="004B7A68" w:rsidRDefault="004B7A68" w:rsidP="004B7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2" w:type="pct"/>
            <w:vMerge/>
          </w:tcPr>
          <w:p w14:paraId="71057274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vMerge/>
          </w:tcPr>
          <w:p w14:paraId="7904BC74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</w:tcPr>
          <w:p w14:paraId="45BEB922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A68" w:rsidRPr="004B7A68" w14:paraId="60CCA418" w14:textId="77777777" w:rsidTr="007D2A80">
        <w:trPr>
          <w:trHeight w:val="470"/>
        </w:trPr>
        <w:tc>
          <w:tcPr>
            <w:tcW w:w="1244" w:type="pct"/>
            <w:shd w:val="clear" w:color="auto" w:fill="auto"/>
          </w:tcPr>
          <w:p w14:paraId="3288D818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Змістові модулі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6D6EA68" w14:textId="77777777" w:rsidR="004B7A68" w:rsidRPr="004B7A68" w:rsidRDefault="004B7A68" w:rsidP="004B7A68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Т 1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DEB81E1" w14:textId="77777777" w:rsidR="004B7A68" w:rsidRPr="004B7A68" w:rsidRDefault="004B7A68" w:rsidP="004B7A68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Т 2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EE27660" w14:textId="77777777" w:rsidR="004B7A68" w:rsidRPr="004B7A68" w:rsidRDefault="004B7A68" w:rsidP="004B7A68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Т 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0E3E7FD" w14:textId="77777777" w:rsidR="004B7A68" w:rsidRPr="004B7A68" w:rsidRDefault="004B7A68" w:rsidP="004B7A68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Т 4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247A7B4" w14:textId="77777777" w:rsidR="004B7A68" w:rsidRPr="004B7A68" w:rsidRDefault="004B7A68" w:rsidP="004B7A68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МК 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1F99993" w14:textId="77777777" w:rsidR="004B7A68" w:rsidRPr="004B7A68" w:rsidRDefault="004B7A68" w:rsidP="004B7A68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Т 5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F859FE8" w14:textId="77777777" w:rsidR="004B7A68" w:rsidRPr="004B7A68" w:rsidRDefault="004B7A68" w:rsidP="004B7A68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Т 6</w:t>
            </w:r>
          </w:p>
        </w:tc>
        <w:tc>
          <w:tcPr>
            <w:tcW w:w="248" w:type="pct"/>
            <w:vAlign w:val="center"/>
          </w:tcPr>
          <w:p w14:paraId="1454325E" w14:textId="77777777" w:rsidR="004B7A68" w:rsidRPr="004B7A68" w:rsidRDefault="004B7A68" w:rsidP="004B7A68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Т 7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D1D04A1" w14:textId="77777777" w:rsidR="004B7A68" w:rsidRPr="004B7A68" w:rsidRDefault="004B7A68" w:rsidP="004B7A68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Т 8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D479570" w14:textId="77777777" w:rsidR="004B7A68" w:rsidRPr="004B7A68" w:rsidRDefault="004B7A68" w:rsidP="004B7A68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МК 2</w:t>
            </w:r>
          </w:p>
        </w:tc>
        <w:tc>
          <w:tcPr>
            <w:tcW w:w="412" w:type="pct"/>
            <w:vMerge/>
          </w:tcPr>
          <w:p w14:paraId="1E3CDAC2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vMerge/>
          </w:tcPr>
          <w:p w14:paraId="1FA0FBA0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</w:tcPr>
          <w:p w14:paraId="7DE1F6F9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A68" w:rsidRPr="004B7A68" w14:paraId="3235A258" w14:textId="77777777" w:rsidTr="007D2A80">
        <w:trPr>
          <w:trHeight w:val="706"/>
        </w:trPr>
        <w:tc>
          <w:tcPr>
            <w:tcW w:w="1244" w:type="pct"/>
            <w:shd w:val="clear" w:color="auto" w:fill="auto"/>
          </w:tcPr>
          <w:p w14:paraId="25C00D74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bCs/>
                <w:lang w:eastAsia="ru-RU"/>
              </w:rPr>
              <w:t>Кількість балів за змістовими модулями і модульний контроль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3D0E1B9" w14:textId="77777777" w:rsidR="004B7A68" w:rsidRPr="004B7A68" w:rsidRDefault="004B7A68" w:rsidP="004B7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F705418" w14:textId="77777777" w:rsidR="004B7A68" w:rsidRPr="004B7A68" w:rsidRDefault="004B7A68" w:rsidP="004B7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356E70C" w14:textId="77777777" w:rsidR="004B7A68" w:rsidRPr="004B7A68" w:rsidRDefault="004B7A68" w:rsidP="004B7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EA9865" w14:textId="77777777" w:rsidR="004B7A68" w:rsidRPr="004B7A68" w:rsidRDefault="004B7A68" w:rsidP="004B7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DE516C9" w14:textId="77777777" w:rsidR="004B7A68" w:rsidRPr="004B7A68" w:rsidRDefault="004B7A68" w:rsidP="004B7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8A7EA6B" w14:textId="77777777" w:rsidR="004B7A68" w:rsidRPr="004B7A68" w:rsidRDefault="004B7A68" w:rsidP="004B7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CD8FD0F" w14:textId="77777777" w:rsidR="004B7A68" w:rsidRPr="004B7A68" w:rsidRDefault="004B7A68" w:rsidP="004B7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8" w:type="pct"/>
            <w:vAlign w:val="center"/>
          </w:tcPr>
          <w:p w14:paraId="0B7121C3" w14:textId="77777777" w:rsidR="004B7A68" w:rsidRPr="004B7A68" w:rsidRDefault="004B7A68" w:rsidP="004B7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E28EC3E" w14:textId="77777777" w:rsidR="004B7A68" w:rsidRPr="004B7A68" w:rsidRDefault="004B7A68" w:rsidP="004B7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2FBB50E" w14:textId="77777777" w:rsidR="004B7A68" w:rsidRPr="004B7A68" w:rsidRDefault="004B7A68" w:rsidP="004B7A68">
            <w:pPr>
              <w:widowControl w:val="0"/>
              <w:ind w:hanging="10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2" w:type="pct"/>
          </w:tcPr>
          <w:p w14:paraId="1D5DAC36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11" w:type="pct"/>
            <w:vMerge w:val="restart"/>
            <w:vAlign w:val="center"/>
          </w:tcPr>
          <w:p w14:paraId="2DA44A17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87" w:type="pct"/>
            <w:vMerge w:val="restart"/>
            <w:vAlign w:val="center"/>
          </w:tcPr>
          <w:p w14:paraId="12BB3038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7A68" w:rsidRPr="004B7A68" w14:paraId="4C842FEF" w14:textId="77777777" w:rsidTr="007D2A80">
        <w:trPr>
          <w:trHeight w:val="358"/>
        </w:trPr>
        <w:tc>
          <w:tcPr>
            <w:tcW w:w="1244" w:type="pct"/>
            <w:shd w:val="clear" w:color="auto" w:fill="auto"/>
          </w:tcPr>
          <w:p w14:paraId="4EA1E72E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4B7A68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4B7A68">
              <w:rPr>
                <w:rFonts w:ascii="Times New Roman" w:eastAsia="Times New Roman" w:hAnsi="Times New Roman" w:cs="Times New Roman"/>
                <w:bCs/>
                <w:lang w:eastAsia="ru-RU"/>
              </w:rPr>
              <w:t>. за видами робіт: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42EA80D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CF1DA7A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65577FC4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8CD6F5F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2C36824E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231A84D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6127422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14:paraId="0CFDEDE2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49BAD0E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34A9D2B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2" w:type="pct"/>
          </w:tcPr>
          <w:p w14:paraId="407C6578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1" w:type="pct"/>
            <w:vMerge/>
          </w:tcPr>
          <w:p w14:paraId="7F4D872E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</w:tcPr>
          <w:p w14:paraId="5C47E0B4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A68" w:rsidRPr="004B7A68" w14:paraId="2E7D48E3" w14:textId="77777777" w:rsidTr="007D2A80">
        <w:trPr>
          <w:trHeight w:val="348"/>
        </w:trPr>
        <w:tc>
          <w:tcPr>
            <w:tcW w:w="1244" w:type="pct"/>
            <w:shd w:val="clear" w:color="auto" w:fill="auto"/>
            <w:vAlign w:val="center"/>
          </w:tcPr>
          <w:p w14:paraId="062FB5CD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bCs/>
                <w:lang w:eastAsia="ru-RU"/>
              </w:rPr>
              <w:t>- практичні заняття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F5E2202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94B8AD6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219DAA2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4E536BF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871F237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665DDA2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CF4456D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8" w:type="pct"/>
            <w:vAlign w:val="center"/>
          </w:tcPr>
          <w:p w14:paraId="22183B92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6B202C5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620F1EB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2" w:type="pct"/>
          </w:tcPr>
          <w:p w14:paraId="78EDA09B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11" w:type="pct"/>
            <w:vMerge/>
          </w:tcPr>
          <w:p w14:paraId="4F374B26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</w:tcPr>
          <w:p w14:paraId="174ADFED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A68" w:rsidRPr="004B7A68" w14:paraId="713EA2FD" w14:textId="77777777" w:rsidTr="007D2A80">
        <w:trPr>
          <w:trHeight w:val="335"/>
        </w:trPr>
        <w:tc>
          <w:tcPr>
            <w:tcW w:w="1244" w:type="pct"/>
            <w:shd w:val="clear" w:color="auto" w:fill="auto"/>
            <w:vAlign w:val="center"/>
          </w:tcPr>
          <w:p w14:paraId="1761F260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bCs/>
                <w:lang w:eastAsia="ru-RU"/>
              </w:rPr>
              <w:t>- використання СРС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39C1269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57B0F33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D02F530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5850E3B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C7F8E1A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47B5CC7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BA31643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" w:type="pct"/>
            <w:vAlign w:val="center"/>
          </w:tcPr>
          <w:p w14:paraId="2A99C542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6831424D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4C96F32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2" w:type="pct"/>
          </w:tcPr>
          <w:p w14:paraId="7EBBA83A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1" w:type="pct"/>
            <w:vMerge/>
          </w:tcPr>
          <w:p w14:paraId="0031BBD3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</w:tcPr>
          <w:p w14:paraId="0EFF3FC8" w14:textId="77777777" w:rsidR="004B7A68" w:rsidRPr="004B7A68" w:rsidRDefault="004B7A68" w:rsidP="004B7A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AFFA920" w14:textId="77777777" w:rsidR="004B7A68" w:rsidRPr="004B7A68" w:rsidRDefault="004B7A68" w:rsidP="004B7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7EEE3" w14:textId="77777777" w:rsidR="00360F8F" w:rsidRPr="009F0FB8" w:rsidRDefault="00360F8F" w:rsidP="00360F8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0FB8">
        <w:rPr>
          <w:rFonts w:ascii="Times New Roman" w:hAnsi="Times New Roman" w:cs="Times New Roman"/>
          <w:b/>
          <w:bCs/>
          <w:sz w:val="22"/>
          <w:szCs w:val="22"/>
        </w:rPr>
        <w:t>Шкала оцінювання: національна та ECTS</w:t>
      </w:r>
    </w:p>
    <w:tbl>
      <w:tblPr>
        <w:tblW w:w="3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203"/>
        <w:gridCol w:w="4080"/>
      </w:tblGrid>
      <w:tr w:rsidR="00360F8F" w:rsidRPr="009F0FB8" w14:paraId="2ECDC889" w14:textId="77777777" w:rsidTr="004371CA">
        <w:trPr>
          <w:trHeight w:val="231"/>
          <w:jc w:val="center"/>
        </w:trPr>
        <w:tc>
          <w:tcPr>
            <w:tcW w:w="1532" w:type="pct"/>
            <w:vMerge w:val="restart"/>
            <w:vAlign w:val="center"/>
          </w:tcPr>
          <w:p w14:paraId="764462E9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Сума балів за всі види навчальної діяльності</w:t>
            </w:r>
          </w:p>
        </w:tc>
        <w:tc>
          <w:tcPr>
            <w:tcW w:w="790" w:type="pct"/>
            <w:vMerge w:val="restart"/>
            <w:vAlign w:val="center"/>
          </w:tcPr>
          <w:p w14:paraId="38938CCA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Оцінка ECTS</w:t>
            </w:r>
          </w:p>
        </w:tc>
        <w:tc>
          <w:tcPr>
            <w:tcW w:w="2678" w:type="pct"/>
            <w:vAlign w:val="center"/>
          </w:tcPr>
          <w:p w14:paraId="0F8CFCE0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Оцінка за національною шкалою</w:t>
            </w:r>
          </w:p>
        </w:tc>
      </w:tr>
      <w:tr w:rsidR="00360F8F" w:rsidRPr="009F0FB8" w14:paraId="3DE624B7" w14:textId="77777777" w:rsidTr="004371CA">
        <w:trPr>
          <w:trHeight w:val="231"/>
          <w:jc w:val="center"/>
        </w:trPr>
        <w:tc>
          <w:tcPr>
            <w:tcW w:w="1532" w:type="pct"/>
            <w:vMerge/>
            <w:vAlign w:val="center"/>
          </w:tcPr>
          <w:p w14:paraId="2792FB39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pct"/>
            <w:vMerge/>
            <w:vAlign w:val="center"/>
          </w:tcPr>
          <w:p w14:paraId="4CBC902D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8" w:type="pct"/>
            <w:vAlign w:val="center"/>
          </w:tcPr>
          <w:p w14:paraId="78F3D959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для екзамену (курсової роботи)</w:t>
            </w:r>
          </w:p>
        </w:tc>
      </w:tr>
      <w:tr w:rsidR="00360F8F" w:rsidRPr="009F0FB8" w14:paraId="773569F7" w14:textId="77777777" w:rsidTr="004371CA">
        <w:trPr>
          <w:trHeight w:val="173"/>
          <w:jc w:val="center"/>
        </w:trPr>
        <w:tc>
          <w:tcPr>
            <w:tcW w:w="1532" w:type="pct"/>
            <w:vAlign w:val="center"/>
          </w:tcPr>
          <w:p w14:paraId="411B6436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90 – 100</w:t>
            </w:r>
          </w:p>
        </w:tc>
        <w:tc>
          <w:tcPr>
            <w:tcW w:w="790" w:type="pct"/>
            <w:vAlign w:val="center"/>
          </w:tcPr>
          <w:p w14:paraId="52E03C64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678" w:type="pct"/>
            <w:vAlign w:val="center"/>
          </w:tcPr>
          <w:p w14:paraId="7F799AD2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 xml:space="preserve">відмінно  </w:t>
            </w:r>
          </w:p>
        </w:tc>
      </w:tr>
      <w:tr w:rsidR="00360F8F" w:rsidRPr="009F0FB8" w14:paraId="0F6977E0" w14:textId="77777777" w:rsidTr="004371CA">
        <w:trPr>
          <w:trHeight w:val="98"/>
          <w:jc w:val="center"/>
        </w:trPr>
        <w:tc>
          <w:tcPr>
            <w:tcW w:w="1532" w:type="pct"/>
            <w:vAlign w:val="center"/>
          </w:tcPr>
          <w:p w14:paraId="572F1659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82-89</w:t>
            </w:r>
          </w:p>
        </w:tc>
        <w:tc>
          <w:tcPr>
            <w:tcW w:w="790" w:type="pct"/>
            <w:vAlign w:val="center"/>
          </w:tcPr>
          <w:p w14:paraId="44794AA5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78" w:type="pct"/>
            <w:vMerge w:val="restart"/>
            <w:vAlign w:val="center"/>
          </w:tcPr>
          <w:p w14:paraId="7C316E82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 xml:space="preserve">добре </w:t>
            </w:r>
          </w:p>
        </w:tc>
      </w:tr>
      <w:tr w:rsidR="00360F8F" w:rsidRPr="009F0FB8" w14:paraId="1421D571" w14:textId="77777777" w:rsidTr="004371CA">
        <w:trPr>
          <w:trHeight w:val="173"/>
          <w:jc w:val="center"/>
        </w:trPr>
        <w:tc>
          <w:tcPr>
            <w:tcW w:w="1532" w:type="pct"/>
            <w:vAlign w:val="center"/>
          </w:tcPr>
          <w:p w14:paraId="5C288F96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74-81</w:t>
            </w:r>
          </w:p>
        </w:tc>
        <w:tc>
          <w:tcPr>
            <w:tcW w:w="790" w:type="pct"/>
            <w:vAlign w:val="center"/>
          </w:tcPr>
          <w:p w14:paraId="1B1944B6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2678" w:type="pct"/>
            <w:vMerge/>
            <w:vAlign w:val="center"/>
          </w:tcPr>
          <w:p w14:paraId="336DBE14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F8F" w:rsidRPr="009F0FB8" w14:paraId="5292CA24" w14:textId="77777777" w:rsidTr="004371CA">
        <w:trPr>
          <w:trHeight w:val="173"/>
          <w:jc w:val="center"/>
        </w:trPr>
        <w:tc>
          <w:tcPr>
            <w:tcW w:w="1532" w:type="pct"/>
            <w:vAlign w:val="center"/>
          </w:tcPr>
          <w:p w14:paraId="71061129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64-73</w:t>
            </w:r>
          </w:p>
        </w:tc>
        <w:tc>
          <w:tcPr>
            <w:tcW w:w="790" w:type="pct"/>
            <w:vAlign w:val="center"/>
          </w:tcPr>
          <w:p w14:paraId="10CD4C2E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2678" w:type="pct"/>
            <w:vMerge w:val="restart"/>
            <w:vAlign w:val="center"/>
          </w:tcPr>
          <w:p w14:paraId="2EF044F9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 xml:space="preserve">задовільно </w:t>
            </w:r>
          </w:p>
        </w:tc>
      </w:tr>
      <w:tr w:rsidR="00360F8F" w:rsidRPr="009F0FB8" w14:paraId="3A2A107C" w14:textId="77777777" w:rsidTr="004371CA">
        <w:trPr>
          <w:trHeight w:val="173"/>
          <w:jc w:val="center"/>
        </w:trPr>
        <w:tc>
          <w:tcPr>
            <w:tcW w:w="1532" w:type="pct"/>
            <w:vAlign w:val="center"/>
          </w:tcPr>
          <w:p w14:paraId="64619E11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60-63</w:t>
            </w:r>
          </w:p>
        </w:tc>
        <w:tc>
          <w:tcPr>
            <w:tcW w:w="790" w:type="pct"/>
            <w:vAlign w:val="center"/>
          </w:tcPr>
          <w:p w14:paraId="0FF9EDF6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</w:p>
        </w:tc>
        <w:tc>
          <w:tcPr>
            <w:tcW w:w="2678" w:type="pct"/>
            <w:vMerge/>
            <w:vAlign w:val="center"/>
          </w:tcPr>
          <w:p w14:paraId="022AAC8B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F8F" w:rsidRPr="009F0FB8" w14:paraId="693B16E8" w14:textId="77777777" w:rsidTr="004371CA">
        <w:trPr>
          <w:trHeight w:val="357"/>
          <w:jc w:val="center"/>
        </w:trPr>
        <w:tc>
          <w:tcPr>
            <w:tcW w:w="1532" w:type="pct"/>
            <w:vAlign w:val="center"/>
          </w:tcPr>
          <w:p w14:paraId="7AC74388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35-59</w:t>
            </w:r>
          </w:p>
        </w:tc>
        <w:tc>
          <w:tcPr>
            <w:tcW w:w="790" w:type="pct"/>
            <w:vAlign w:val="center"/>
          </w:tcPr>
          <w:p w14:paraId="4976AB1F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FX</w:t>
            </w:r>
          </w:p>
        </w:tc>
        <w:tc>
          <w:tcPr>
            <w:tcW w:w="2678" w:type="pct"/>
            <w:vAlign w:val="center"/>
          </w:tcPr>
          <w:p w14:paraId="688FA1B2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незадовільно з можливістю повторного складання</w:t>
            </w:r>
          </w:p>
        </w:tc>
      </w:tr>
      <w:tr w:rsidR="00360F8F" w:rsidRPr="009F0FB8" w14:paraId="4544F696" w14:textId="77777777" w:rsidTr="004371CA">
        <w:trPr>
          <w:trHeight w:val="365"/>
          <w:jc w:val="center"/>
        </w:trPr>
        <w:tc>
          <w:tcPr>
            <w:tcW w:w="1532" w:type="pct"/>
            <w:vAlign w:val="center"/>
          </w:tcPr>
          <w:p w14:paraId="1AEABC0B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0-34</w:t>
            </w:r>
          </w:p>
        </w:tc>
        <w:tc>
          <w:tcPr>
            <w:tcW w:w="790" w:type="pct"/>
            <w:vAlign w:val="center"/>
          </w:tcPr>
          <w:p w14:paraId="3A3CABD7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2678" w:type="pct"/>
            <w:vAlign w:val="center"/>
          </w:tcPr>
          <w:p w14:paraId="449939A3" w14:textId="77777777" w:rsidR="00360F8F" w:rsidRPr="009F0FB8" w:rsidRDefault="00360F8F" w:rsidP="00437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</w:tr>
    </w:tbl>
    <w:p w14:paraId="3CF69E2C" w14:textId="256BD388" w:rsidR="00D42FE0" w:rsidRPr="009F0FB8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9F0FB8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ПОЛІТИКИ КУРСУ</w:t>
      </w:r>
    </w:p>
    <w:p w14:paraId="6C65F8A3" w14:textId="1F007B74" w:rsidR="003A018A" w:rsidRPr="009F0FB8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3A018A" w:rsidRPr="009F0FB8" w14:paraId="25D776DA" w14:textId="77777777" w:rsidTr="003A018A">
        <w:tc>
          <w:tcPr>
            <w:tcW w:w="2235" w:type="dxa"/>
          </w:tcPr>
          <w:p w14:paraId="5E931B0D" w14:textId="1A8524B9" w:rsidR="003A018A" w:rsidRPr="009F0FB8" w:rsidRDefault="003A018A" w:rsidP="003A018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F0F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Політика оцінювання</w:t>
            </w:r>
          </w:p>
        </w:tc>
        <w:tc>
          <w:tcPr>
            <w:tcW w:w="8079" w:type="dxa"/>
          </w:tcPr>
          <w:p w14:paraId="4C81AD05" w14:textId="29FDCBC8" w:rsidR="003A018A" w:rsidRPr="009F0FB8" w:rsidRDefault="003A018A" w:rsidP="0001646F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науково-дослідної роботи, модульного контролю, підсумкового контролю тощо). Встановлюється, що при вивченні дисципліни до моменту підсумкового контролю (іспиту) </w:t>
            </w:r>
            <w:r w:rsidR="00781544" w:rsidRPr="009F0FB8">
              <w:rPr>
                <w:rFonts w:ascii="Times New Roman" w:hAnsi="Times New Roman" w:cs="Times New Roman"/>
                <w:sz w:val="22"/>
                <w:szCs w:val="22"/>
              </w:rPr>
              <w:t xml:space="preserve">здобувач </w:t>
            </w: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 xml:space="preserve">може набрати максимально 70 балів. На підсумковому контролі (іспит) </w:t>
            </w:r>
            <w:r w:rsidR="00781544" w:rsidRPr="009F0FB8">
              <w:rPr>
                <w:rFonts w:ascii="Times New Roman" w:hAnsi="Times New Roman" w:cs="Times New Roman"/>
                <w:sz w:val="22"/>
                <w:szCs w:val="22"/>
              </w:rPr>
              <w:t xml:space="preserve">здобувач </w:t>
            </w: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може набрати максимально 30 балів, що в сумі і дає 100 балів.</w:t>
            </w:r>
            <w:r w:rsidR="003C1056" w:rsidRPr="009F0F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018A" w:rsidRPr="009F0FB8" w14:paraId="7E1F443C" w14:textId="77777777" w:rsidTr="003A018A">
        <w:tc>
          <w:tcPr>
            <w:tcW w:w="2235" w:type="dxa"/>
          </w:tcPr>
          <w:p w14:paraId="55F76176" w14:textId="591DB7B9" w:rsidR="003A018A" w:rsidRPr="009F0FB8" w:rsidRDefault="003A018A" w:rsidP="003A018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F0F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Політика щодо академічної доброчесності</w:t>
            </w:r>
          </w:p>
        </w:tc>
        <w:tc>
          <w:tcPr>
            <w:tcW w:w="8079" w:type="dxa"/>
          </w:tcPr>
          <w:p w14:paraId="0E62C4A9" w14:textId="1C8590CB" w:rsidR="003A018A" w:rsidRPr="009F0FB8" w:rsidRDefault="003A018A" w:rsidP="003A018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F0FB8">
              <w:rPr>
                <w:rFonts w:ascii="Times New Roman" w:eastAsia="Times New Roman" w:hAnsi="Times New Roman" w:cs="Times New Roman"/>
                <w:sz w:val="22"/>
                <w:szCs w:val="22"/>
              </w:rPr>
              <w:t>Під час підготовки рефератів</w:t>
            </w:r>
            <w:r w:rsidR="00FD03BC" w:rsidRPr="009F0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(есе)</w:t>
            </w:r>
            <w:r w:rsidRPr="009F0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 xml:space="preserve"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недоброчесності</w:t>
            </w:r>
            <w:proofErr w:type="spellEnd"/>
            <w:r w:rsidRPr="009F0FB8">
              <w:rPr>
                <w:rFonts w:ascii="Times New Roman" w:hAnsi="Times New Roman" w:cs="Times New Roman"/>
                <w:sz w:val="22"/>
                <w:szCs w:val="22"/>
              </w:rPr>
              <w:t xml:space="preserve"> в письмовій роботі здобувача є підставою для її </w:t>
            </w:r>
            <w:proofErr w:type="spellStart"/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незарахування</w:t>
            </w:r>
            <w:proofErr w:type="spellEnd"/>
            <w:r w:rsidRPr="009F0FB8">
              <w:rPr>
                <w:rFonts w:ascii="Times New Roman" w:hAnsi="Times New Roman" w:cs="Times New Roman"/>
                <w:sz w:val="22"/>
                <w:szCs w:val="22"/>
              </w:rPr>
              <w:t xml:space="preserve"> викладачем, незалежно від масштабів плагіату</w:t>
            </w:r>
          </w:p>
        </w:tc>
      </w:tr>
      <w:tr w:rsidR="003A018A" w:rsidRPr="009F0FB8" w14:paraId="48DAA32C" w14:textId="77777777" w:rsidTr="003A018A">
        <w:tc>
          <w:tcPr>
            <w:tcW w:w="2235" w:type="dxa"/>
          </w:tcPr>
          <w:p w14:paraId="10899E85" w14:textId="47C4CA92" w:rsidR="003A018A" w:rsidRPr="009F0FB8" w:rsidRDefault="00DC1DDA" w:rsidP="00DC1DD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b/>
                <w:sz w:val="22"/>
                <w:szCs w:val="22"/>
              </w:rPr>
              <w:t>Політика щодо відвідування</w:t>
            </w:r>
          </w:p>
        </w:tc>
        <w:tc>
          <w:tcPr>
            <w:tcW w:w="8079" w:type="dxa"/>
          </w:tcPr>
          <w:p w14:paraId="0A931D60" w14:textId="639C2E42" w:rsidR="003A018A" w:rsidRPr="009F0FB8" w:rsidRDefault="00DC1DDA" w:rsidP="00DC1DD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F0FB8">
              <w:rPr>
                <w:rFonts w:ascii="Times New Roman" w:hAnsi="Times New Roman" w:cs="Times New Roman"/>
                <w:sz w:val="22"/>
                <w:szCs w:val="22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p w14:paraId="34FA7A6A" w14:textId="06F8F97E" w:rsidR="00D55743" w:rsidRPr="009F0FB8" w:rsidRDefault="00D55743" w:rsidP="006568CB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D55743" w:rsidRPr="009F0FB8" w:rsidSect="000923A8">
      <w:pgSz w:w="11906" w:h="16838" w:code="9"/>
      <w:pgMar w:top="851" w:right="851" w:bottom="992" w:left="709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0F"/>
    <w:multiLevelType w:val="hybridMultilevel"/>
    <w:tmpl w:val="C7FCA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AB8"/>
    <w:multiLevelType w:val="hybridMultilevel"/>
    <w:tmpl w:val="0D782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5B85"/>
    <w:multiLevelType w:val="hybridMultilevel"/>
    <w:tmpl w:val="75B887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873443E"/>
    <w:multiLevelType w:val="hybridMultilevel"/>
    <w:tmpl w:val="E4C4E292"/>
    <w:lvl w:ilvl="0" w:tplc="B36A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AF5912"/>
    <w:multiLevelType w:val="hybridMultilevel"/>
    <w:tmpl w:val="9F60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1D0"/>
    <w:multiLevelType w:val="hybridMultilevel"/>
    <w:tmpl w:val="A50C674E"/>
    <w:lvl w:ilvl="0" w:tplc="531A7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A4743F"/>
    <w:multiLevelType w:val="hybridMultilevel"/>
    <w:tmpl w:val="C45A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3A91"/>
    <w:multiLevelType w:val="hybridMultilevel"/>
    <w:tmpl w:val="1F9E48A8"/>
    <w:lvl w:ilvl="0" w:tplc="1842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0D6894"/>
    <w:multiLevelType w:val="hybridMultilevel"/>
    <w:tmpl w:val="A4C8218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31802"/>
    <w:multiLevelType w:val="hybridMultilevel"/>
    <w:tmpl w:val="76F2B010"/>
    <w:lvl w:ilvl="0" w:tplc="AA0C06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C529F"/>
    <w:multiLevelType w:val="hybridMultilevel"/>
    <w:tmpl w:val="DDD035CE"/>
    <w:lvl w:ilvl="0" w:tplc="A34E785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15FB60B5"/>
    <w:multiLevelType w:val="singleLevel"/>
    <w:tmpl w:val="9F224DA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6F9714C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4">
    <w:nsid w:val="1728075F"/>
    <w:multiLevelType w:val="singleLevel"/>
    <w:tmpl w:val="7FF8E20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5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CB74058"/>
    <w:multiLevelType w:val="hybridMultilevel"/>
    <w:tmpl w:val="418C12DC"/>
    <w:lvl w:ilvl="0" w:tplc="F0E8744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6B1"/>
    <w:multiLevelType w:val="hybridMultilevel"/>
    <w:tmpl w:val="F83A70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21951607"/>
    <w:multiLevelType w:val="hybridMultilevel"/>
    <w:tmpl w:val="81DE94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>
    <w:nsid w:val="23AD63A6"/>
    <w:multiLevelType w:val="hybridMultilevel"/>
    <w:tmpl w:val="2CF65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DB3252"/>
    <w:multiLevelType w:val="hybridMultilevel"/>
    <w:tmpl w:val="B6B4A65E"/>
    <w:lvl w:ilvl="0" w:tplc="72362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3">
    <w:nsid w:val="29613960"/>
    <w:multiLevelType w:val="multilevel"/>
    <w:tmpl w:val="A17CAD50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2D600803"/>
    <w:multiLevelType w:val="hybridMultilevel"/>
    <w:tmpl w:val="05B694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843032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8D86D10"/>
    <w:multiLevelType w:val="hybridMultilevel"/>
    <w:tmpl w:val="BC465072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B009C"/>
    <w:multiLevelType w:val="hybridMultilevel"/>
    <w:tmpl w:val="344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033543"/>
    <w:multiLevelType w:val="hybridMultilevel"/>
    <w:tmpl w:val="31F4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60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CFE750F"/>
    <w:multiLevelType w:val="hybridMultilevel"/>
    <w:tmpl w:val="10D29C3C"/>
    <w:lvl w:ilvl="0" w:tplc="139CAB42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765AAF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C1B04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38969F1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4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5">
    <w:nsid w:val="589E5E33"/>
    <w:multiLevelType w:val="hybridMultilevel"/>
    <w:tmpl w:val="E08E601C"/>
    <w:lvl w:ilvl="0" w:tplc="665EA5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2426C"/>
    <w:multiLevelType w:val="hybridMultilevel"/>
    <w:tmpl w:val="C7DA7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A6457"/>
    <w:multiLevelType w:val="multilevel"/>
    <w:tmpl w:val="6E02B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5F9530ED"/>
    <w:multiLevelType w:val="hybridMultilevel"/>
    <w:tmpl w:val="4104A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782F18"/>
    <w:multiLevelType w:val="hybridMultilevel"/>
    <w:tmpl w:val="B3D6C602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E2B63"/>
    <w:multiLevelType w:val="hybridMultilevel"/>
    <w:tmpl w:val="75B05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536D6"/>
    <w:multiLevelType w:val="hybridMultilevel"/>
    <w:tmpl w:val="F69C4BB2"/>
    <w:lvl w:ilvl="0" w:tplc="6F54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35CCC"/>
    <w:multiLevelType w:val="hybridMultilevel"/>
    <w:tmpl w:val="9656F242"/>
    <w:lvl w:ilvl="0" w:tplc="AA0C06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120B6"/>
    <w:multiLevelType w:val="hybridMultilevel"/>
    <w:tmpl w:val="276E116E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C0293"/>
    <w:multiLevelType w:val="hybridMultilevel"/>
    <w:tmpl w:val="BACA8D86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5"/>
  </w:num>
  <w:num w:numId="4">
    <w:abstractNumId w:val="22"/>
  </w:num>
  <w:num w:numId="5">
    <w:abstractNumId w:val="25"/>
  </w:num>
  <w:num w:numId="6">
    <w:abstractNumId w:val="8"/>
  </w:num>
  <w:num w:numId="7">
    <w:abstractNumId w:val="5"/>
  </w:num>
  <w:num w:numId="8">
    <w:abstractNumId w:val="33"/>
  </w:num>
  <w:num w:numId="9">
    <w:abstractNumId w:val="23"/>
  </w:num>
  <w:num w:numId="10">
    <w:abstractNumId w:val="7"/>
  </w:num>
  <w:num w:numId="11">
    <w:abstractNumId w:val="37"/>
  </w:num>
  <w:num w:numId="12">
    <w:abstractNumId w:val="3"/>
  </w:num>
  <w:num w:numId="13">
    <w:abstractNumId w:val="32"/>
  </w:num>
  <w:num w:numId="14">
    <w:abstractNumId w:val="18"/>
  </w:num>
  <w:num w:numId="15">
    <w:abstractNumId w:val="31"/>
  </w:num>
  <w:num w:numId="16">
    <w:abstractNumId w:val="40"/>
  </w:num>
  <w:num w:numId="17">
    <w:abstractNumId w:val="11"/>
  </w:num>
  <w:num w:numId="18">
    <w:abstractNumId w:val="14"/>
  </w:num>
  <w:num w:numId="19">
    <w:abstractNumId w:val="29"/>
  </w:num>
  <w:num w:numId="20">
    <w:abstractNumId w:val="39"/>
  </w:num>
  <w:num w:numId="21">
    <w:abstractNumId w:val="43"/>
  </w:num>
  <w:num w:numId="22">
    <w:abstractNumId w:val="41"/>
  </w:num>
  <w:num w:numId="23">
    <w:abstractNumId w:val="0"/>
  </w:num>
  <w:num w:numId="24">
    <w:abstractNumId w:val="2"/>
  </w:num>
  <w:num w:numId="25">
    <w:abstractNumId w:val="27"/>
  </w:num>
  <w:num w:numId="26">
    <w:abstractNumId w:val="19"/>
  </w:num>
  <w:num w:numId="27">
    <w:abstractNumId w:val="10"/>
  </w:num>
  <w:num w:numId="28">
    <w:abstractNumId w:val="13"/>
  </w:num>
  <w:num w:numId="29">
    <w:abstractNumId w:val="16"/>
  </w:num>
  <w:num w:numId="30">
    <w:abstractNumId w:val="21"/>
  </w:num>
  <w:num w:numId="31">
    <w:abstractNumId w:val="4"/>
  </w:num>
  <w:num w:numId="32">
    <w:abstractNumId w:val="1"/>
  </w:num>
  <w:num w:numId="33">
    <w:abstractNumId w:val="36"/>
  </w:num>
  <w:num w:numId="34">
    <w:abstractNumId w:val="28"/>
  </w:num>
  <w:num w:numId="35">
    <w:abstractNumId w:val="26"/>
  </w:num>
  <w:num w:numId="36">
    <w:abstractNumId w:val="30"/>
  </w:num>
  <w:num w:numId="37">
    <w:abstractNumId w:val="38"/>
  </w:num>
  <w:num w:numId="38">
    <w:abstractNumId w:val="24"/>
  </w:num>
  <w:num w:numId="39">
    <w:abstractNumId w:val="44"/>
  </w:num>
  <w:num w:numId="40">
    <w:abstractNumId w:val="35"/>
  </w:num>
  <w:num w:numId="41">
    <w:abstractNumId w:val="17"/>
  </w:num>
  <w:num w:numId="42">
    <w:abstractNumId w:val="9"/>
  </w:num>
  <w:num w:numId="43">
    <w:abstractNumId w:val="42"/>
  </w:num>
  <w:num w:numId="44">
    <w:abstractNumId w:val="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E"/>
    <w:rsid w:val="0001646F"/>
    <w:rsid w:val="00035229"/>
    <w:rsid w:val="000428F5"/>
    <w:rsid w:val="0004361F"/>
    <w:rsid w:val="00062598"/>
    <w:rsid w:val="00067B0C"/>
    <w:rsid w:val="00076417"/>
    <w:rsid w:val="00080C0F"/>
    <w:rsid w:val="000923A8"/>
    <w:rsid w:val="00097A42"/>
    <w:rsid w:val="000B11B1"/>
    <w:rsid w:val="000B2252"/>
    <w:rsid w:val="000E4F07"/>
    <w:rsid w:val="000E5F8B"/>
    <w:rsid w:val="000E7D78"/>
    <w:rsid w:val="00100DDD"/>
    <w:rsid w:val="00111996"/>
    <w:rsid w:val="00131CF3"/>
    <w:rsid w:val="00176EA6"/>
    <w:rsid w:val="00177871"/>
    <w:rsid w:val="00192862"/>
    <w:rsid w:val="0019322A"/>
    <w:rsid w:val="001938E5"/>
    <w:rsid w:val="001957C9"/>
    <w:rsid w:val="001B2305"/>
    <w:rsid w:val="001C0C28"/>
    <w:rsid w:val="001D0408"/>
    <w:rsid w:val="001E0BC2"/>
    <w:rsid w:val="001F0E9D"/>
    <w:rsid w:val="001F2163"/>
    <w:rsid w:val="001F25CB"/>
    <w:rsid w:val="0020761A"/>
    <w:rsid w:val="00230881"/>
    <w:rsid w:val="0023565E"/>
    <w:rsid w:val="00236673"/>
    <w:rsid w:val="00241D88"/>
    <w:rsid w:val="00242CC1"/>
    <w:rsid w:val="002510C9"/>
    <w:rsid w:val="002528C5"/>
    <w:rsid w:val="00266708"/>
    <w:rsid w:val="002712B7"/>
    <w:rsid w:val="00275164"/>
    <w:rsid w:val="002A4800"/>
    <w:rsid w:val="002B24C1"/>
    <w:rsid w:val="002C04F5"/>
    <w:rsid w:val="002D356D"/>
    <w:rsid w:val="002E2966"/>
    <w:rsid w:val="002E6251"/>
    <w:rsid w:val="002F73A7"/>
    <w:rsid w:val="00300AA9"/>
    <w:rsid w:val="003038AB"/>
    <w:rsid w:val="00304A01"/>
    <w:rsid w:val="00315D20"/>
    <w:rsid w:val="00316839"/>
    <w:rsid w:val="00333A7C"/>
    <w:rsid w:val="00345549"/>
    <w:rsid w:val="00360F8F"/>
    <w:rsid w:val="00362542"/>
    <w:rsid w:val="00364BED"/>
    <w:rsid w:val="00373026"/>
    <w:rsid w:val="00376E16"/>
    <w:rsid w:val="0038102E"/>
    <w:rsid w:val="003956B8"/>
    <w:rsid w:val="00396171"/>
    <w:rsid w:val="003A018A"/>
    <w:rsid w:val="003B3E09"/>
    <w:rsid w:val="003C1056"/>
    <w:rsid w:val="003C2798"/>
    <w:rsid w:val="00400FBF"/>
    <w:rsid w:val="00410A7C"/>
    <w:rsid w:val="00426993"/>
    <w:rsid w:val="00427F32"/>
    <w:rsid w:val="0043063F"/>
    <w:rsid w:val="004434FE"/>
    <w:rsid w:val="00456411"/>
    <w:rsid w:val="004700E6"/>
    <w:rsid w:val="00472F69"/>
    <w:rsid w:val="004904AF"/>
    <w:rsid w:val="00491142"/>
    <w:rsid w:val="004A4B92"/>
    <w:rsid w:val="004A63FE"/>
    <w:rsid w:val="004A6C6B"/>
    <w:rsid w:val="004A7902"/>
    <w:rsid w:val="004B074C"/>
    <w:rsid w:val="004B1772"/>
    <w:rsid w:val="004B7A68"/>
    <w:rsid w:val="004D2B78"/>
    <w:rsid w:val="004D7D58"/>
    <w:rsid w:val="004E6B43"/>
    <w:rsid w:val="004F04A6"/>
    <w:rsid w:val="004F2D0A"/>
    <w:rsid w:val="004F5CFE"/>
    <w:rsid w:val="00502364"/>
    <w:rsid w:val="0052027A"/>
    <w:rsid w:val="0053223F"/>
    <w:rsid w:val="00534978"/>
    <w:rsid w:val="00555A96"/>
    <w:rsid w:val="005704C8"/>
    <w:rsid w:val="00571984"/>
    <w:rsid w:val="00571F81"/>
    <w:rsid w:val="005850FC"/>
    <w:rsid w:val="00597A0E"/>
    <w:rsid w:val="005B0B51"/>
    <w:rsid w:val="005C7DF8"/>
    <w:rsid w:val="005F0B9F"/>
    <w:rsid w:val="006173F8"/>
    <w:rsid w:val="00625F45"/>
    <w:rsid w:val="00627D8C"/>
    <w:rsid w:val="00634499"/>
    <w:rsid w:val="00644BA6"/>
    <w:rsid w:val="00651737"/>
    <w:rsid w:val="00651F88"/>
    <w:rsid w:val="006568CB"/>
    <w:rsid w:val="0066232E"/>
    <w:rsid w:val="00663592"/>
    <w:rsid w:val="006733BA"/>
    <w:rsid w:val="00682704"/>
    <w:rsid w:val="0068693B"/>
    <w:rsid w:val="006927A6"/>
    <w:rsid w:val="006A6806"/>
    <w:rsid w:val="006D57B0"/>
    <w:rsid w:val="006D5A7D"/>
    <w:rsid w:val="006E43AD"/>
    <w:rsid w:val="006E6868"/>
    <w:rsid w:val="006E736B"/>
    <w:rsid w:val="0071090C"/>
    <w:rsid w:val="007274AF"/>
    <w:rsid w:val="00733578"/>
    <w:rsid w:val="00742CF2"/>
    <w:rsid w:val="007474DD"/>
    <w:rsid w:val="00747EFB"/>
    <w:rsid w:val="007525F4"/>
    <w:rsid w:val="0075506D"/>
    <w:rsid w:val="00757E61"/>
    <w:rsid w:val="00765505"/>
    <w:rsid w:val="0076683D"/>
    <w:rsid w:val="00774263"/>
    <w:rsid w:val="00781544"/>
    <w:rsid w:val="0078158F"/>
    <w:rsid w:val="007B00C6"/>
    <w:rsid w:val="007B5A0A"/>
    <w:rsid w:val="007B74F3"/>
    <w:rsid w:val="007D2A80"/>
    <w:rsid w:val="007D3642"/>
    <w:rsid w:val="00806FB8"/>
    <w:rsid w:val="00816617"/>
    <w:rsid w:val="008247ED"/>
    <w:rsid w:val="0082540B"/>
    <w:rsid w:val="00830672"/>
    <w:rsid w:val="008353EE"/>
    <w:rsid w:val="008702FA"/>
    <w:rsid w:val="008814E4"/>
    <w:rsid w:val="00892CB4"/>
    <w:rsid w:val="00893BF0"/>
    <w:rsid w:val="008A509F"/>
    <w:rsid w:val="008B1D8A"/>
    <w:rsid w:val="008C1065"/>
    <w:rsid w:val="008C131D"/>
    <w:rsid w:val="008C284B"/>
    <w:rsid w:val="008C297C"/>
    <w:rsid w:val="008C7D6C"/>
    <w:rsid w:val="008F03DF"/>
    <w:rsid w:val="008F5A1F"/>
    <w:rsid w:val="00912F02"/>
    <w:rsid w:val="00914353"/>
    <w:rsid w:val="00921844"/>
    <w:rsid w:val="009351B9"/>
    <w:rsid w:val="00935994"/>
    <w:rsid w:val="0093685C"/>
    <w:rsid w:val="009540C1"/>
    <w:rsid w:val="00963BD8"/>
    <w:rsid w:val="00965AC6"/>
    <w:rsid w:val="00967D14"/>
    <w:rsid w:val="00973E51"/>
    <w:rsid w:val="00985DD6"/>
    <w:rsid w:val="00991B2C"/>
    <w:rsid w:val="00995B01"/>
    <w:rsid w:val="009A391F"/>
    <w:rsid w:val="009A42E1"/>
    <w:rsid w:val="009A7612"/>
    <w:rsid w:val="009A7CB7"/>
    <w:rsid w:val="009B2B88"/>
    <w:rsid w:val="009B4DB1"/>
    <w:rsid w:val="009B5E29"/>
    <w:rsid w:val="009C0036"/>
    <w:rsid w:val="009C2B81"/>
    <w:rsid w:val="009F0FB8"/>
    <w:rsid w:val="009F7756"/>
    <w:rsid w:val="00A10C35"/>
    <w:rsid w:val="00A265E6"/>
    <w:rsid w:val="00A31998"/>
    <w:rsid w:val="00A455FC"/>
    <w:rsid w:val="00A46983"/>
    <w:rsid w:val="00A57417"/>
    <w:rsid w:val="00A60A0B"/>
    <w:rsid w:val="00A6541C"/>
    <w:rsid w:val="00A74EA7"/>
    <w:rsid w:val="00A758FD"/>
    <w:rsid w:val="00A75F99"/>
    <w:rsid w:val="00A81B47"/>
    <w:rsid w:val="00AA3144"/>
    <w:rsid w:val="00AB3D4E"/>
    <w:rsid w:val="00AC746D"/>
    <w:rsid w:val="00AD006E"/>
    <w:rsid w:val="00AE1955"/>
    <w:rsid w:val="00AE7C06"/>
    <w:rsid w:val="00AF4876"/>
    <w:rsid w:val="00AF6C7F"/>
    <w:rsid w:val="00AF78B6"/>
    <w:rsid w:val="00B025BD"/>
    <w:rsid w:val="00B25901"/>
    <w:rsid w:val="00B27366"/>
    <w:rsid w:val="00B3243B"/>
    <w:rsid w:val="00B3668B"/>
    <w:rsid w:val="00B51BED"/>
    <w:rsid w:val="00B547FA"/>
    <w:rsid w:val="00B62662"/>
    <w:rsid w:val="00B6618C"/>
    <w:rsid w:val="00B73DB4"/>
    <w:rsid w:val="00B87D2D"/>
    <w:rsid w:val="00B94AD1"/>
    <w:rsid w:val="00BB51D8"/>
    <w:rsid w:val="00BE104F"/>
    <w:rsid w:val="00BE2654"/>
    <w:rsid w:val="00BF3023"/>
    <w:rsid w:val="00C058AF"/>
    <w:rsid w:val="00C07D6A"/>
    <w:rsid w:val="00C21C07"/>
    <w:rsid w:val="00C22A64"/>
    <w:rsid w:val="00C5182D"/>
    <w:rsid w:val="00C53672"/>
    <w:rsid w:val="00C6129A"/>
    <w:rsid w:val="00C80845"/>
    <w:rsid w:val="00C841A4"/>
    <w:rsid w:val="00C858FB"/>
    <w:rsid w:val="00CA26FC"/>
    <w:rsid w:val="00CB648D"/>
    <w:rsid w:val="00CE02B8"/>
    <w:rsid w:val="00CE6DBF"/>
    <w:rsid w:val="00CF3CA7"/>
    <w:rsid w:val="00D055E0"/>
    <w:rsid w:val="00D15AD7"/>
    <w:rsid w:val="00D23930"/>
    <w:rsid w:val="00D25441"/>
    <w:rsid w:val="00D312A4"/>
    <w:rsid w:val="00D3608D"/>
    <w:rsid w:val="00D42FE0"/>
    <w:rsid w:val="00D55743"/>
    <w:rsid w:val="00D64153"/>
    <w:rsid w:val="00D64B0C"/>
    <w:rsid w:val="00D70795"/>
    <w:rsid w:val="00D75D50"/>
    <w:rsid w:val="00D7668B"/>
    <w:rsid w:val="00D91A36"/>
    <w:rsid w:val="00D937AA"/>
    <w:rsid w:val="00DA412A"/>
    <w:rsid w:val="00DC140A"/>
    <w:rsid w:val="00DC1DDA"/>
    <w:rsid w:val="00DF49A2"/>
    <w:rsid w:val="00E00F0B"/>
    <w:rsid w:val="00E078AC"/>
    <w:rsid w:val="00E1225F"/>
    <w:rsid w:val="00E17711"/>
    <w:rsid w:val="00E37B2E"/>
    <w:rsid w:val="00E420C1"/>
    <w:rsid w:val="00E47864"/>
    <w:rsid w:val="00E62279"/>
    <w:rsid w:val="00E70EC6"/>
    <w:rsid w:val="00E804AF"/>
    <w:rsid w:val="00E813BB"/>
    <w:rsid w:val="00E86BEE"/>
    <w:rsid w:val="00E95AAE"/>
    <w:rsid w:val="00EA36BD"/>
    <w:rsid w:val="00EB0E8A"/>
    <w:rsid w:val="00EB1EF5"/>
    <w:rsid w:val="00EC02A9"/>
    <w:rsid w:val="00EC055D"/>
    <w:rsid w:val="00ED5189"/>
    <w:rsid w:val="00EE1AB1"/>
    <w:rsid w:val="00F04B1F"/>
    <w:rsid w:val="00F214D4"/>
    <w:rsid w:val="00F33189"/>
    <w:rsid w:val="00F41029"/>
    <w:rsid w:val="00F66837"/>
    <w:rsid w:val="00F715A8"/>
    <w:rsid w:val="00F727C5"/>
    <w:rsid w:val="00F744CF"/>
    <w:rsid w:val="00F81A87"/>
    <w:rsid w:val="00F93AE2"/>
    <w:rsid w:val="00FA7A4A"/>
    <w:rsid w:val="00FB76E3"/>
    <w:rsid w:val="00FC2E1A"/>
    <w:rsid w:val="00FD03BC"/>
    <w:rsid w:val="00FD395B"/>
    <w:rsid w:val="00FE023F"/>
    <w:rsid w:val="00FE2441"/>
    <w:rsid w:val="00FE7014"/>
    <w:rsid w:val="00FE7643"/>
    <w:rsid w:val="00FE778C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iPriority w:val="99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paragraph" w:customStyle="1" w:styleId="BodyText21">
    <w:name w:val="Body Text 21"/>
    <w:basedOn w:val="a"/>
    <w:uiPriority w:val="99"/>
    <w:rsid w:val="0078158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rsid w:val="0078158F"/>
  </w:style>
  <w:style w:type="character" w:styleId="afc">
    <w:name w:val="FollowedHyperlink"/>
    <w:basedOn w:val="a0"/>
    <w:uiPriority w:val="99"/>
    <w:semiHidden/>
    <w:unhideWhenUsed/>
    <w:rsid w:val="009A391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A391F"/>
  </w:style>
  <w:style w:type="character" w:customStyle="1" w:styleId="10">
    <w:name w:val="Заголовок 1 Знак"/>
    <w:basedOn w:val="a0"/>
    <w:link w:val="1"/>
    <w:rsid w:val="00360F8F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iPriority w:val="99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paragraph" w:customStyle="1" w:styleId="BodyText21">
    <w:name w:val="Body Text 21"/>
    <w:basedOn w:val="a"/>
    <w:uiPriority w:val="99"/>
    <w:rsid w:val="0078158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rsid w:val="0078158F"/>
  </w:style>
  <w:style w:type="character" w:styleId="afc">
    <w:name w:val="FollowedHyperlink"/>
    <w:basedOn w:val="a0"/>
    <w:uiPriority w:val="99"/>
    <w:semiHidden/>
    <w:unhideWhenUsed/>
    <w:rsid w:val="009A391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A391F"/>
  </w:style>
  <w:style w:type="character" w:customStyle="1" w:styleId="10">
    <w:name w:val="Заголовок 1 Знак"/>
    <w:basedOn w:val="a0"/>
    <w:link w:val="1"/>
    <w:rsid w:val="00360F8F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A75F-A8FB-4822-AD6C-E19858A9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User</cp:lastModifiedBy>
  <cp:revision>3</cp:revision>
  <cp:lastPrinted>2020-02-10T08:49:00Z</cp:lastPrinted>
  <dcterms:created xsi:type="dcterms:W3CDTF">2021-09-16T06:58:00Z</dcterms:created>
  <dcterms:modified xsi:type="dcterms:W3CDTF">2021-10-06T11:06:00Z</dcterms:modified>
</cp:coreProperties>
</file>